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9C" w:rsidRPr="0094459C" w:rsidRDefault="0094459C" w:rsidP="0094459C">
      <w:pPr>
        <w:jc w:val="both"/>
        <w:rPr>
          <w:lang w:val="pl-PL"/>
        </w:rPr>
      </w:pPr>
      <w:bookmarkStart w:id="0" w:name="_GoBack"/>
      <w:r w:rsidRPr="0094459C">
        <w:rPr>
          <w:lang w:val="pl-PL"/>
        </w:rPr>
        <w:t>Norweskie z</w:t>
      </w:r>
      <w:r w:rsidRPr="0094459C">
        <w:rPr>
          <w:lang w:val="pl-PL"/>
        </w:rPr>
        <w:t xml:space="preserve">awiadomienie o określeniu wysokości zobowiązania podatkowego </w:t>
      </w:r>
      <w:bookmarkEnd w:id="0"/>
      <w:r w:rsidRPr="0094459C">
        <w:rPr>
          <w:lang w:val="pl-PL"/>
        </w:rPr>
        <w:t>w roku podatkowym 2015 - tłumaczenie tekstu informacyjnego</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Osoby o numerze D zobowiązane są przesłać podpisaną informację o zmianie adresu zamieszkania do Biura Centralnego – Międzynarodowe Sprawy Podatkowe. Należy załączyć kopię paszportu lub dowodu tożsamości. Istnieje możliwość przesłania skanu podpisanej informacji za pośrednictwem poczty elektronicznej na adres:</w:t>
      </w:r>
    </w:p>
    <w:p w:rsidR="0094459C" w:rsidRPr="0094459C" w:rsidRDefault="0094459C" w:rsidP="0094459C">
      <w:pPr>
        <w:jc w:val="both"/>
        <w:rPr>
          <w:lang w:val="pl-PL"/>
        </w:rPr>
      </w:pPr>
      <w:r w:rsidRPr="0094459C">
        <w:rPr>
          <w:lang w:val="pl-PL"/>
        </w:rPr>
        <w:t>sfu@skatteetaten.no, fax: +47 51 96 96 96.</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Informacje dotyczące numeru rachunku bankowego (IBAN, SWIFT oraz zaświadczenie stwierdzające fakty bycia właścicielem rachunku) należy podpisać oraz przesłać do Międzynarodowego Biura Poboru Podatków.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Należy dołączyć kopię paszportu lub dowodu tożsamości. </w:t>
      </w:r>
    </w:p>
    <w:p w:rsidR="0094459C" w:rsidRPr="0094459C" w:rsidRDefault="0094459C" w:rsidP="0094459C">
      <w:pPr>
        <w:jc w:val="both"/>
        <w:rPr>
          <w:lang w:val="pl-PL"/>
        </w:rPr>
      </w:pPr>
      <w:r w:rsidRPr="0094459C">
        <w:rPr>
          <w:lang w:val="pl-PL"/>
        </w:rPr>
        <w:t>Istnieje możliwość przesłania skanu podpisanej informacji za pośrednictwem poczty elektronicznej na adres:</w:t>
      </w:r>
    </w:p>
    <w:p w:rsidR="0094459C" w:rsidRPr="0094459C" w:rsidRDefault="0094459C" w:rsidP="0094459C">
      <w:pPr>
        <w:jc w:val="both"/>
        <w:rPr>
          <w:lang w:val="pl-PL"/>
        </w:rPr>
      </w:pPr>
      <w:r w:rsidRPr="0094459C">
        <w:rPr>
          <w:lang w:val="pl-PL"/>
        </w:rPr>
        <w:t>tco@skatteetaten.no, fax: +47 51 91 73 01.</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Formularze zmiany adresu zamieszkania oraz informacji dotyczących rachunku bankowego dostępne są na www.taxnorway.no </w:t>
      </w:r>
    </w:p>
    <w:p w:rsidR="0094459C" w:rsidRPr="0094459C" w:rsidRDefault="0094459C" w:rsidP="0094459C">
      <w:pPr>
        <w:jc w:val="both"/>
        <w:rPr>
          <w:lang w:val="pl-PL"/>
        </w:rPr>
      </w:pPr>
      <w:r w:rsidRPr="0094459C">
        <w:rPr>
          <w:lang w:val="pl-PL"/>
        </w:rPr>
        <w:t>Odsetki należne i odsetki płatne</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W rozliczeniu podatku odsetki obliczane są na podstawie kwot należnych podatnikom.  Odsetki naliczane są od kwoty niedopłaty podatku. Odsetki naliczane są do momentu złożenia kolejnego rozliczenia podatkowego. Wejdź na taxnorway.no lub skatteetaten.no aby uzyskać więcej informacji na temat naliczania odsetek i stawek oprocentowania w  rozliczeniu podatkowym lub skontaktuj się z Międzynarodowym Biurem poboru Podatków lub skorzystaj z Infolinii Podatkowej (SOL).</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Niedopłata Podatku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Niedopłatę podatku w kwocie nieprzekraczającej 1 000 NOK </w:t>
      </w:r>
      <w:r w:rsidRPr="0094459C">
        <w:rPr>
          <w:lang w:val="pl-PL"/>
        </w:rPr>
        <w:lastRenderedPageBreak/>
        <w:t xml:space="preserve">należy uiścić nie później niż w przeciągu trzech tygodni od dnia wysyłki rozliczenia podatkowego.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Niedopłata podatku w kwocie równej lub przekraczającej 1 000 NOK można uiścić w dwóch ratach, w przeciągu trzech lub ośmiu tygodni od dnia wysyłki rozliczenia podatkowego.  W przypadku nieopłacenia pierwszej raty niedopłaty podatku w wyznaczonym terminie, uznaje się, że druga rata staje się wymagalna w tym samym dniu co pierwsza rata.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E-użytkownicy otrzymują fakturę z kwotą niedopłaty podatku oraz terminem płatności, wraz z innymi informacjami dotyczącymi płatności za pośrednictwem Altinn. Niedopłatę podatku należy uiścić za pomocą bankowości internetowej.  Podatnicy nie będący e-użytkownikami otrzymają informację o osiągniętym dochodzie ze stosunku pracy drogą pocztową.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W przypadku nieuiszczenia niedopłaty podatku w wyznaczonym terminie, pobrane zostaną odsetki naliczone od przeterminowanej kwoty. Nieuiszczona niedopłata podatku może zostać pobrana w drodze egzekucji.</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Niedopłatę podatku należy uiścić w wyznaczonym terminie, nawet w przypadku złożenia odwołania w związku z określoną wysokością zobowiązania podatkowego.  Ma to również zastosowanie w przypadku gdy odwołanie zostało wysłane do kolegium odwoławczego lub stało się przedmiotem postępowania przed sądem administracyjnym. W przypadku zwiększenia kwoty należnego podatku w skutek złożonego odwołania, określona nadwyżka jest płatna w przeciągu trzech tygodni od dnia wysłania nowego rozliczenia podatku, jednak nie wcześniej niż terminem upływu drugiej raty.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W przypadku gdy postępowanie odwoławcze/sądowe dotyczy wyższej kwoty podatku, podatnik nie jest zobowiązany do uiszczenia tej części podatku, do momentu trwania postępowania administracyjnego lub sądowego.  Niemniej jednak, od wyższej kwoty podatku będącej przedmiotem postępowania naliczane będą odsetki według stawki odpowiadającej stawce z tytułu </w:t>
      </w:r>
      <w:r w:rsidRPr="0094459C">
        <w:rPr>
          <w:lang w:val="pl-PL"/>
        </w:rPr>
        <w:lastRenderedPageBreak/>
        <w:t xml:space="preserve">pozbawienia środków pieniężnych.  Odsetki naliczane będą od dnia określenia niedopłaty, do momentu zakończenia postępowania lub wydania prawomocnego orzeczenia przez sąd ; zobacz Dział 11-7-5 Regulacji w zakresie uiszczania zobowiązań podatkowych.  Stawka oprocentowania odpowiada stawce bazowej zgodnie z polityką monetarną Norges Bank na dzień 1 stycznia roku właściwego dla należności, plus jeden punkt procentowy, zobacz Dział 11-6 (2) Ustawy o uiszczaniu zobowiązań podatkowych.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Prosimy pamiętać, że podatnik jest zobowiązany do uiszczenia dodatkowej kwoty podatku niezwłocznie po wydania decyzji kończącej postępowanie lub prawomocnego orzeczenia sądu.  Odsetki naliczane będą od tego dnia, zgodnie z Sekcją 11-1 Ustawy o uiszczaniu zobowiązań podatkowych.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Odwołanie w zakresie określenia kwoty podatku</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W przypadku, gdy podatnik uważa, że należna kwota podatku została określona w sposób błędny, zobowiązany jest on wnieść odwołanie.  Odwołanie może zostać złożone za pośrednictwem skatteetaten.no/klage lub listownie do Biura Centralnego - Międzynarodowe Sprawy Podatkowe (COFTA) P.O.  Skrytka pocztowa 8031, NO-4068 Stavanger.</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Odwołanie w sprawie określonej kwoty podatku należy złożyć w przeciągu sześciu tygodni od dnia wysyłki rozliczenia podatkowego.  W odwołaniu podatnik zobowiązany jest wskazać błędne pozycje wraz z uzasadnieniem.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Decyzja określająca wysokość zobowiązania podatkowego może zostać rozpatrzona przez sąd.  Postępowanie należy wszcząć w przeciągu sześciu miesięcy od dnia wysyłki zawiadomienia o rozliczeniu podatkowym.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Odwołanie w zakresie rozliczenia podatkowego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lastRenderedPageBreak/>
        <w:t xml:space="preserve">Odwołania w zakresie błędów lub brakującego odliczenia należy przesłać do Międzynarodowego Biura Poboru Podatku, P.O. Skrytka pocztowa 8103, NO-4068 , tel. +47 51 86 89 00, fax +47 51 91 73 01 tco@skatteetaten.no w przeciągu trzech tygodni od otrzymania decyzji, zob. Ustawa o Administracji Publicznej, rozdział VI.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Klasa podatkowa</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Klasa podatkowe do której przynależy podatnik określa wysokość ulgi podatkowej, do której uprawniony jest podatnik.  Ulga podatkowa klasy 2 jest wyższa niż ulga klasy 1.  Samodzielny podatnik, w tym osoby samotnie wychowujące dzieci oraz osoby pozostające we wspólnym pożyciu ujmowane są w klasie 1.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Małżonkowie, którzy ujmowani są łącznie w oparciu o ich łączny dochód, ujmowani są w klasie 2.  Wspólne określenie podatku może być właściwe w przypadku gdy jedno z małżonków osiąga niski dochód lub nie osiąga dochodu.  Małżonkowie ujmowani oddzielnie w oparciu o osiągany dochód do klasy 1, tj. w przypadku gdy dochody małżonków ujmowane są oddzielnie, przy rozdzielnych ulgach. </w:t>
      </w:r>
    </w:p>
    <w:p w:rsidR="0094459C" w:rsidRPr="0094459C" w:rsidRDefault="0094459C" w:rsidP="0094459C">
      <w:pPr>
        <w:jc w:val="both"/>
        <w:rPr>
          <w:lang w:val="pl-PL"/>
        </w:rPr>
      </w:pPr>
      <w:r w:rsidRPr="0094459C">
        <w:rPr>
          <w:lang w:val="pl-PL"/>
        </w:rPr>
        <w:t xml:space="preserve">Małżonkowie, z których oboje osiąga dochód, ujmowani są w klasie, która skutkuje określeniem najniższej kwoty zobowiązania podatkowego (klasa „2F” l klasa „1 E”). W przypadku gdy podatnik przebywał w Norwegii jedynie przez część roku podatkowego, uprawniony jest do ulgi, której kwota uzależniona jest od liczby miesięcy lub ich części, których przebywał w kraju.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Skandynawskie porozumienie w sprawie odliczeń podatkowych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W przypadku gdy podatnik uiścił kwotę podatku w innym kraju skandynawskim, zobowiązany jest do skontaktowania się z lokalnym organem podatkowym lub Biurem Centralny - Międzynarodowe Sprawy Podatkowe (COFTA). Wszelkie naliczone ubezpieczeniowe składki  krajowe nie są objęte umową.</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Marynarze na statkach NOR/NIS</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Dla marynarzy, dolna kwota graniczna niedopłaty podatku/ zwrotu należnych kwot wynosi 2 000 NOK, zgodnie z Ustawą o uiszczaniu zobowiązań podatkowych, sekcja 10-4, zob. Regulacje w sprawie uiszczania zobowiązań podatkowych sekcja 10-4-1.  W przypadku gdy w stosunku do podatnika określono wyłącznie wysokość krajowej składki ubezpieczeniowej, kwotę należy uiścić bez względu na jej wysokość.</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Sposób wykorzystywania przychodów podatkowych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Aby uzyskać informację na temat tego w jaki sposób wykorzystywane są przychody podatkowe, zobacz slikbrukesskattepengene.no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Zapis decyzji określającej wysokość podatku</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Zapis zawiera informacje na temat  dochodów osobistych osiągniętych przez podatnika, dochodów ogólnych, odliczeń, majątku oraz długu.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Kolumna „z zeznania podatkowego” zawiera kwoty wprowadzone przez podatnika, zmienione lub zaakceptowane w decyzji o zwrocie podatku.  Kolumna „podstawa określenia należnego podatku” zawiera informacje na temat organu podatkowego, który wydał decyzję.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„Pozycja w zeznaniu podatkowym” odnosi się do liczby porządkowej pozycji w zeznaniu podatkowym.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Informacje na temat klasy podatkowej, odliczenie z tytułu mieszkaniowego programu oszczędnościowego dla osób młodych oraz inne odliczenia od podatku, wskazane w rozliczeniu podatkowym.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Zasady zaokrąglania w górę/w dół</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Przed obliczeniem wysokości zobowiązania podatkowego, podstawa opodatkowania jest zaokrąglana w górę lub w dół do pełnych koron, chyba że określono inaczej w szczegółowych zasadach zaokrąglania w przepisach podatkowych.</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Przeniesienie pomiędzy małżonkami</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Przy obliczaniu kwoty należnego podatku, wszelkie ujemne dochody lub wartość majątku należącego do jednego z małżonków  zostaje przeniesiona na drugiego małżonka. Wszelkie ulgi szczególne, które nie zostały w pełni odliczone, również zostają przeniesione.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Odpowiedzialność podatkowa przed kilkoma gminami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Zapis obejmuje dochód, zaległości oraz majątek we wszystkich gminach, w stosunku do których podatnik posiada zobowiązania podatkowe. Pozycji dotyczące gminy, w której podatnik zamieszkuje, oznaczone są co do kwoty oraz przy użyciu tego samego numeru jak w zeznaniu podatkowym. W przypadku pozycji dotyczących gmin innych niż ta, w której podatnik zamieszkuje, jedynie kolumna „podstawa opodatkowania” zawierać będzie kwoty.  Kwoty te ukazują całość majątku, sumę uzyskanego dochodu oraz wszelkie, ujęte łącznie kwoty zaległości, w stosunku do danej gminy.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W momencie obliczania kwoty należnego podatku, odsetki od zadłużenia oraz inne odliczenia, których nie można przypisać do określonego źródła dochodu, są, z pewnymi wyjątkami, odnoszone proporcjonalnie do gmin, w których podatnik osiągnął dochód.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Zadłużenie jest również odnoszone proporcjonalnie do gmin, w których podatnik posiada kapitał.  Zapis nie zawiera </w:t>
      </w:r>
      <w:r w:rsidRPr="0094459C">
        <w:rPr>
          <w:lang w:val="pl-PL"/>
        </w:rPr>
        <w:lastRenderedPageBreak/>
        <w:t xml:space="preserve">informacji na temat tych odniesień.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Dochód osobisty z tytułu samozatrudnienia dzielony jest na rodzaje dochodów osobistych.</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Dochód osobisty z tytułu samozatrudnienia - podstawa obliczenia</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Składki na ubezpieczenie społeczne oraz podatek wyrównawczy pobierane są z dochodów osobistych, w ramach określonych limitów. Jest to uwzględniane w podstawie opodatkowania w rozliczeniu podatkowym, natomiast cały dochód osobisty zawarty jest zapisie rozliczenia podatkowego.</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Nieruchomości zagraniczne</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W przypadku gdy podatnik posiada nieruchomości za granicą, które są zwolnione z podatku w Norwegii na mocy umowy o unikaniu podwójnego opodatkowania, za wyjątkiem domu lub domu letniskowego w kraju EOG, odliczenia z tytułu zadłużenia oraz odsetek od zadłużenia rozdzielane są pomiędzy majątek znajdujący się w Norwegii oraz za granicą.  Skutkuje to zmniejszeniem odliczenia w Norwegii.  W zapisie, przedstawione jest to jako „zmniejszenie zadłużenia z tytułu nieruchomości zagranicznych” oraz „zmniejszenie odsetek z tytułu nieruchomości zagranicznych”. </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Wartość kapitałowa nieruchomości zagranicznej ujmowana jest w dolnej części zapisu informacji podatnika. </w:t>
      </w:r>
    </w:p>
    <w:p w:rsidR="0094459C" w:rsidRPr="0094459C" w:rsidRDefault="0094459C" w:rsidP="0094459C">
      <w:pPr>
        <w:jc w:val="both"/>
        <w:rPr>
          <w:lang w:val="pl-PL"/>
        </w:rPr>
      </w:pP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Standardowe odliczenie dla osób przebywających czasowo w Norwegii</w:t>
      </w:r>
    </w:p>
    <w:p w:rsidR="0094459C" w:rsidRPr="0094459C" w:rsidRDefault="0094459C" w:rsidP="0094459C">
      <w:pPr>
        <w:jc w:val="both"/>
        <w:rPr>
          <w:lang w:val="pl-PL"/>
        </w:rPr>
      </w:pPr>
    </w:p>
    <w:p w:rsidR="0094459C" w:rsidRPr="0094459C" w:rsidRDefault="0094459C" w:rsidP="0094459C">
      <w:pPr>
        <w:jc w:val="both"/>
        <w:rPr>
          <w:lang w:val="pl-PL"/>
        </w:rPr>
      </w:pPr>
      <w:r w:rsidRPr="0094459C">
        <w:rPr>
          <w:lang w:val="pl-PL"/>
        </w:rPr>
        <w:t xml:space="preserve">W przypadku gdy podatnik otrzymał prawo do zastosowania dziesięcioprocentowego odliczenia, kolumna „podstawa określenia wysokości zobowiązania podatkowego” nie będzie </w:t>
      </w:r>
      <w:r w:rsidRPr="0094459C">
        <w:rPr>
          <w:lang w:val="pl-PL"/>
        </w:rPr>
        <w:lastRenderedPageBreak/>
        <w:t xml:space="preserve">wykazywać kwot dla pozycji zastąpionych przez standardowe odliczenie. </w:t>
      </w:r>
    </w:p>
    <w:p w:rsidR="003C7DC9" w:rsidRPr="0094459C" w:rsidRDefault="0094459C" w:rsidP="0094459C">
      <w:pPr>
        <w:jc w:val="both"/>
        <w:rPr>
          <w:lang w:val="pl-PL"/>
        </w:rPr>
      </w:pPr>
      <w:r w:rsidRPr="0094459C">
        <w:rPr>
          <w:lang w:val="pl-PL"/>
        </w:rPr>
        <w:t>W przypadku jakichkolwiek pytań dotyczących zapisu, prosimy skontaktować się z organem podatkowym.</w:t>
      </w:r>
    </w:p>
    <w:sectPr w:rsidR="003C7DC9" w:rsidRPr="0094459C" w:rsidSect="003B18C7">
      <w:headerReference w:type="default" r:id="rId8"/>
      <w:type w:val="continuous"/>
      <w:pgSz w:w="11909" w:h="16834"/>
      <w:pgMar w:top="1134" w:right="1418" w:bottom="2835"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6A" w:rsidRDefault="00121A6A" w:rsidP="003C7DC9">
      <w:r>
        <w:separator/>
      </w:r>
    </w:p>
  </w:endnote>
  <w:endnote w:type="continuationSeparator" w:id="0">
    <w:p w:rsidR="00121A6A" w:rsidRDefault="00121A6A"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6A" w:rsidRDefault="00121A6A"/>
  </w:footnote>
  <w:footnote w:type="continuationSeparator" w:id="0">
    <w:p w:rsidR="00121A6A" w:rsidRDefault="00121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B2" w:rsidRDefault="00A21BB2" w:rsidP="00A21BB2">
    <w:pPr>
      <w:pStyle w:val="Nagwek"/>
      <w:rPr>
        <w:rFonts w:asciiTheme="minorHAnsi" w:hAnsiTheme="minorHAnsi" w:cstheme="minorHAnsi"/>
        <w:sz w:val="20"/>
        <w:szCs w:val="20"/>
        <w:lang w:val="pl-PL"/>
      </w:rPr>
    </w:pPr>
  </w:p>
  <w:p w:rsidR="00A21BB2" w:rsidRDefault="00A21BB2" w:rsidP="00A21BB2">
    <w:pPr>
      <w:pStyle w:val="Nagwek"/>
      <w:rPr>
        <w:rFonts w:asciiTheme="minorHAnsi" w:hAnsiTheme="minorHAnsi" w:cstheme="minorHAnsi"/>
        <w:sz w:val="20"/>
        <w:szCs w:val="20"/>
        <w:lang w:val="pl-PL"/>
      </w:rPr>
    </w:pPr>
  </w:p>
  <w:p w:rsidR="00A21BB2" w:rsidRDefault="00A21BB2" w:rsidP="00A21BB2">
    <w:pPr>
      <w:pStyle w:val="Nagwek"/>
      <w:rPr>
        <w:rFonts w:asciiTheme="minorHAnsi" w:hAnsiTheme="minorHAnsi" w:cstheme="minorHAnsi"/>
        <w:sz w:val="20"/>
        <w:szCs w:val="20"/>
        <w:lang w:val="pl-PL"/>
      </w:rPr>
    </w:pPr>
  </w:p>
  <w:p w:rsidR="00A21BB2" w:rsidRPr="00051164" w:rsidRDefault="00051164" w:rsidP="00ED2BF9">
    <w:pPr>
      <w:pStyle w:val="Nagwek"/>
      <w:jc w:val="center"/>
      <w:rPr>
        <w:rFonts w:asciiTheme="minorHAnsi" w:hAnsiTheme="minorHAnsi" w:cstheme="minorHAnsi"/>
        <w:sz w:val="16"/>
        <w:szCs w:val="20"/>
        <w:lang w:val="pl-PL"/>
      </w:rPr>
    </w:pPr>
    <w:r w:rsidRPr="00051164">
      <w:rPr>
        <w:rFonts w:asciiTheme="majorHAnsi" w:eastAsiaTheme="majorEastAsia" w:hAnsiTheme="majorHAnsi" w:cstheme="majorBidi"/>
        <w:sz w:val="22"/>
        <w:szCs w:val="28"/>
        <w:lang w:val="pl-PL"/>
      </w:rPr>
      <w:t xml:space="preserve">Strona </w:t>
    </w:r>
    <w:r w:rsidRPr="00051164">
      <w:rPr>
        <w:rFonts w:asciiTheme="minorHAnsi" w:eastAsiaTheme="minorEastAsia" w:hAnsiTheme="minorHAnsi" w:cstheme="minorHAnsi"/>
        <w:sz w:val="16"/>
        <w:szCs w:val="20"/>
        <w:lang w:val="pl-PL"/>
      </w:rPr>
      <w:fldChar w:fldCharType="begin"/>
    </w:r>
    <w:r w:rsidRPr="00051164">
      <w:rPr>
        <w:rFonts w:asciiTheme="minorHAnsi" w:hAnsiTheme="minorHAnsi" w:cstheme="minorHAnsi"/>
        <w:sz w:val="16"/>
        <w:szCs w:val="20"/>
        <w:lang w:val="pl-PL"/>
      </w:rPr>
      <w:instrText>PAGE    \* MERGEFORMAT</w:instrText>
    </w:r>
    <w:r w:rsidRPr="00051164">
      <w:rPr>
        <w:rFonts w:asciiTheme="minorHAnsi" w:eastAsiaTheme="minorEastAsia" w:hAnsiTheme="minorHAnsi" w:cstheme="minorHAnsi"/>
        <w:sz w:val="16"/>
        <w:szCs w:val="20"/>
        <w:lang w:val="pl-PL"/>
      </w:rPr>
      <w:fldChar w:fldCharType="separate"/>
    </w:r>
    <w:r w:rsidR="0094459C" w:rsidRPr="0094459C">
      <w:rPr>
        <w:rFonts w:asciiTheme="majorHAnsi" w:eastAsiaTheme="majorEastAsia" w:hAnsiTheme="majorHAnsi" w:cstheme="majorBidi"/>
        <w:noProof/>
        <w:sz w:val="22"/>
        <w:szCs w:val="28"/>
        <w:lang w:val="pl-PL"/>
      </w:rPr>
      <w:t>6</w:t>
    </w:r>
    <w:r w:rsidRPr="00051164">
      <w:rPr>
        <w:rFonts w:asciiTheme="majorHAnsi" w:eastAsiaTheme="majorEastAsia" w:hAnsiTheme="majorHAnsi" w:cstheme="majorBidi"/>
        <w:sz w:val="22"/>
        <w:szCs w:val="28"/>
        <w:lang w:val="pl-PL"/>
      </w:rPr>
      <w:fldChar w:fldCharType="end"/>
    </w:r>
  </w:p>
  <w:p w:rsidR="00A21BB2" w:rsidRPr="00E61E97" w:rsidRDefault="00A21BB2" w:rsidP="00ED2BF9">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A21BB2" w:rsidRPr="00E61E97" w:rsidRDefault="00A21BB2" w:rsidP="00ED2BF9">
    <w:pPr>
      <w:pStyle w:val="Nagwek"/>
      <w:jc w:val="center"/>
      <w:rPr>
        <w:rFonts w:asciiTheme="minorHAnsi" w:hAnsiTheme="minorHAnsi" w:cstheme="minorHAnsi"/>
        <w:sz w:val="20"/>
        <w:szCs w:val="20"/>
        <w:lang w:val="pl-PL"/>
      </w:rPr>
    </w:pPr>
    <w:r>
      <w:rPr>
        <w:rFonts w:asciiTheme="minorHAnsi" w:hAnsiTheme="minorHAnsi" w:cstheme="minorHAnsi"/>
        <w:sz w:val="20"/>
        <w:szCs w:val="20"/>
        <w:lang w:val="pl-PL"/>
      </w:rPr>
      <w:t>Europejskie Biuro Tłumaczeń</w:t>
    </w:r>
    <w:r w:rsidRPr="00E61E97">
      <w:rPr>
        <w:rFonts w:asciiTheme="minorHAnsi" w:hAnsiTheme="minorHAnsi" w:cstheme="minorHAnsi"/>
        <w:sz w:val="20"/>
        <w:szCs w:val="20"/>
        <w:lang w:val="pl-PL"/>
      </w:rPr>
      <w:t xml:space="preserve"> – </w:t>
    </w:r>
    <w:r>
      <w:rPr>
        <w:rFonts w:asciiTheme="minorHAnsi" w:hAnsiTheme="minorHAnsi" w:cstheme="minorHAnsi"/>
        <w:sz w:val="20"/>
        <w:szCs w:val="20"/>
        <w:lang w:val="pl-PL"/>
      </w:rPr>
      <w:t>Dział Tłumaczeń Potwierdzonych</w:t>
    </w:r>
  </w:p>
  <w:p w:rsidR="00A21BB2" w:rsidRPr="00E61E97" w:rsidRDefault="00A21BB2" w:rsidP="00ED2BF9">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 xml:space="preserve">00-336 Warszawa, </w:t>
    </w:r>
    <w:r>
      <w:rPr>
        <w:rFonts w:asciiTheme="minorHAnsi" w:hAnsiTheme="minorHAnsi" w:cstheme="minorHAnsi"/>
        <w:sz w:val="20"/>
        <w:szCs w:val="20"/>
        <w:lang w:val="pl-PL"/>
      </w:rPr>
      <w:t xml:space="preserve">ulica </w:t>
    </w:r>
    <w:r w:rsidRPr="00E61E97">
      <w:rPr>
        <w:rFonts w:asciiTheme="minorHAnsi" w:hAnsiTheme="minorHAnsi" w:cstheme="minorHAnsi"/>
        <w:sz w:val="20"/>
        <w:szCs w:val="20"/>
        <w:lang w:val="pl-PL"/>
      </w:rPr>
      <w:t>Kopernika</w:t>
    </w:r>
    <w:r w:rsidR="00654FAD">
      <w:rPr>
        <w:rFonts w:asciiTheme="minorHAnsi" w:hAnsiTheme="minorHAnsi" w:cstheme="minorHAnsi"/>
        <w:sz w:val="20"/>
        <w:szCs w:val="20"/>
        <w:lang w:val="pl-PL"/>
      </w:rPr>
      <w:t xml:space="preserve"> 30</w:t>
    </w:r>
    <w:r w:rsidRPr="00E61E97">
      <w:rPr>
        <w:rFonts w:asciiTheme="minorHAnsi" w:hAnsiTheme="minorHAnsi" w:cstheme="minorHAnsi"/>
        <w:sz w:val="20"/>
        <w:szCs w:val="20"/>
        <w:lang w:val="pl-PL"/>
      </w:rPr>
      <w:t>, fax: 022 244 22 07</w:t>
    </w:r>
  </w:p>
  <w:p w:rsidR="00A21BB2" w:rsidRPr="00DB4777" w:rsidRDefault="00A21BB2" w:rsidP="00ED2BF9">
    <w:pPr>
      <w:pStyle w:val="Nagwek"/>
      <w:jc w:val="center"/>
      <w:rPr>
        <w:rFonts w:asciiTheme="minorHAnsi" w:hAnsiTheme="minorHAnsi" w:cstheme="minorHAnsi"/>
        <w:sz w:val="20"/>
        <w:szCs w:val="20"/>
        <w:lang w:val="pl-PL"/>
      </w:rPr>
    </w:pPr>
    <w:r w:rsidRPr="00DB4777">
      <w:rPr>
        <w:rFonts w:asciiTheme="minorHAnsi" w:hAnsiTheme="minorHAnsi" w:cstheme="minorHAnsi"/>
        <w:sz w:val="20"/>
        <w:szCs w:val="20"/>
        <w:lang w:val="pl-PL"/>
      </w:rPr>
      <w:t>tel: +48</w:t>
    </w:r>
    <w:r w:rsidR="00CD7373">
      <w:rPr>
        <w:rFonts w:asciiTheme="minorHAnsi" w:hAnsiTheme="minorHAnsi" w:cstheme="minorHAnsi"/>
        <w:sz w:val="20"/>
        <w:szCs w:val="20"/>
        <w:lang w:val="pl-PL"/>
      </w:rPr>
      <w:t> 693 333 333</w:t>
    </w:r>
    <w:r w:rsidRPr="00DB4777">
      <w:rPr>
        <w:rFonts w:asciiTheme="minorHAnsi" w:hAnsiTheme="minorHAnsi" w:cstheme="minorHAnsi"/>
        <w:sz w:val="20"/>
        <w:szCs w:val="20"/>
        <w:lang w:val="pl-PL"/>
      </w:rPr>
      <w:t xml:space="preserve"> e-mail: info@tlumacz.com.pl</w:t>
    </w:r>
  </w:p>
  <w:p w:rsidR="00A21BB2" w:rsidRDefault="00A21BB2" w:rsidP="00ED2BF9">
    <w:pPr>
      <w:pStyle w:val="Nagwek"/>
      <w:jc w:val="center"/>
      <w:rPr>
        <w:rStyle w:val="Hipercze"/>
        <w:rFonts w:asciiTheme="minorHAnsi" w:hAnsiTheme="minorHAnsi" w:cstheme="minorHAnsi"/>
        <w:sz w:val="20"/>
        <w:szCs w:val="20"/>
        <w:lang w:val="pl-PL"/>
      </w:rPr>
    </w:pPr>
    <w:r w:rsidRPr="004B3345">
      <w:rPr>
        <w:rFonts w:asciiTheme="minorHAnsi" w:hAnsiTheme="minorHAnsi" w:cstheme="minorHAnsi"/>
        <w:sz w:val="20"/>
        <w:szCs w:val="20"/>
        <w:lang w:val="pl-PL"/>
      </w:rPr>
      <w:t xml:space="preserve">Strona internetowa: </w:t>
    </w:r>
    <w:hyperlink r:id="rId1" w:history="1">
      <w:r w:rsidRPr="00E92CA4">
        <w:rPr>
          <w:rStyle w:val="Hipercze"/>
          <w:rFonts w:asciiTheme="minorHAnsi" w:hAnsiTheme="minorHAnsi" w:cstheme="minorHAnsi"/>
          <w:sz w:val="20"/>
          <w:szCs w:val="20"/>
          <w:lang w:val="pl-PL"/>
        </w:rPr>
        <w:t>www.tlumacz.com.pl</w:t>
      </w:r>
    </w:hyperlink>
  </w:p>
  <w:p w:rsidR="00004603" w:rsidRDefault="00004603" w:rsidP="00ED2BF9">
    <w:pPr>
      <w:pStyle w:val="Nagwek"/>
      <w:jc w:val="center"/>
      <w:rPr>
        <w:rFonts w:asciiTheme="minorHAnsi" w:hAnsiTheme="minorHAnsi" w:cstheme="minorHAnsi"/>
        <w:sz w:val="20"/>
        <w:szCs w:val="20"/>
        <w:lang w:val="pl-PL"/>
      </w:rPr>
    </w:pPr>
    <w:r>
      <w:rPr>
        <w:rStyle w:val="Hipercze"/>
        <w:rFonts w:asciiTheme="minorHAnsi" w:hAnsiTheme="minorHAnsi" w:cstheme="minorHAnsi"/>
        <w:sz w:val="20"/>
        <w:szCs w:val="20"/>
        <w:lang w:val="pl-PL"/>
      </w:rPr>
      <w:t>CAŁY ŚWIAT – CAŁĄ DOBĘ!</w:t>
    </w:r>
  </w:p>
  <w:p w:rsidR="00A21BB2" w:rsidRPr="00E61E97" w:rsidRDefault="00A21BB2" w:rsidP="00ED2BF9">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950D52" w:rsidRDefault="00950D52" w:rsidP="0089348B">
    <w:pPr>
      <w:pStyle w:val="Nagwek"/>
      <w:rPr>
        <w:rFonts w:ascii="Arial" w:hAnsi="Arial" w:cs="Arial"/>
        <w:b/>
        <w:lang w:val="pl-PL"/>
      </w:rPr>
    </w:pPr>
  </w:p>
  <w:p w:rsidR="00913455" w:rsidRPr="00D45F06" w:rsidRDefault="00913455" w:rsidP="0089348B">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E0E"/>
    <w:multiLevelType w:val="hybridMultilevel"/>
    <w:tmpl w:val="E4CC1F5A"/>
    <w:lvl w:ilvl="0" w:tplc="FFFFFFFF">
      <w:numFmt w:val="bullet"/>
      <w:lvlText w:val="-"/>
      <w:lvlJc w:val="left"/>
      <w:pPr>
        <w:ind w:left="720" w:hanging="360"/>
      </w:pPr>
      <w:rPr>
        <w:rFonts w:ascii="Courier New" w:eastAsia="Arial Narro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4603"/>
    <w:rsid w:val="0000603A"/>
    <w:rsid w:val="000125D3"/>
    <w:rsid w:val="00021275"/>
    <w:rsid w:val="00027266"/>
    <w:rsid w:val="000374E3"/>
    <w:rsid w:val="00045098"/>
    <w:rsid w:val="00051164"/>
    <w:rsid w:val="00052A7C"/>
    <w:rsid w:val="0006186D"/>
    <w:rsid w:val="00061D79"/>
    <w:rsid w:val="0007321F"/>
    <w:rsid w:val="00076467"/>
    <w:rsid w:val="000A2CE2"/>
    <w:rsid w:val="000A608C"/>
    <w:rsid w:val="000A757A"/>
    <w:rsid w:val="000B21BD"/>
    <w:rsid w:val="000B2F1F"/>
    <w:rsid w:val="000B30A1"/>
    <w:rsid w:val="000C2D48"/>
    <w:rsid w:val="000D16F5"/>
    <w:rsid w:val="000D3912"/>
    <w:rsid w:val="000D446A"/>
    <w:rsid w:val="000D63D9"/>
    <w:rsid w:val="000F3E23"/>
    <w:rsid w:val="000F5F6F"/>
    <w:rsid w:val="000F7884"/>
    <w:rsid w:val="00102102"/>
    <w:rsid w:val="001068BE"/>
    <w:rsid w:val="0011677C"/>
    <w:rsid w:val="001173D1"/>
    <w:rsid w:val="0012062F"/>
    <w:rsid w:val="00121A6A"/>
    <w:rsid w:val="00134A49"/>
    <w:rsid w:val="00140690"/>
    <w:rsid w:val="001412B4"/>
    <w:rsid w:val="00144C57"/>
    <w:rsid w:val="001468A9"/>
    <w:rsid w:val="00150800"/>
    <w:rsid w:val="001514A8"/>
    <w:rsid w:val="001541BE"/>
    <w:rsid w:val="001545D2"/>
    <w:rsid w:val="00154B36"/>
    <w:rsid w:val="001638F2"/>
    <w:rsid w:val="00170DB3"/>
    <w:rsid w:val="00175200"/>
    <w:rsid w:val="001805B4"/>
    <w:rsid w:val="00183FAD"/>
    <w:rsid w:val="00184B5B"/>
    <w:rsid w:val="00186BC2"/>
    <w:rsid w:val="001A2303"/>
    <w:rsid w:val="001A2865"/>
    <w:rsid w:val="001A56A2"/>
    <w:rsid w:val="001A5E78"/>
    <w:rsid w:val="001B1C62"/>
    <w:rsid w:val="001B1E3F"/>
    <w:rsid w:val="001C6544"/>
    <w:rsid w:val="001C7002"/>
    <w:rsid w:val="001E19C8"/>
    <w:rsid w:val="001F5074"/>
    <w:rsid w:val="00203D81"/>
    <w:rsid w:val="002207AA"/>
    <w:rsid w:val="0022155D"/>
    <w:rsid w:val="00245255"/>
    <w:rsid w:val="00247C0B"/>
    <w:rsid w:val="00252FAE"/>
    <w:rsid w:val="00255296"/>
    <w:rsid w:val="002553A5"/>
    <w:rsid w:val="00263EAB"/>
    <w:rsid w:val="00264C98"/>
    <w:rsid w:val="00273D88"/>
    <w:rsid w:val="00282FE7"/>
    <w:rsid w:val="00284AFC"/>
    <w:rsid w:val="00290040"/>
    <w:rsid w:val="002A0603"/>
    <w:rsid w:val="002A416A"/>
    <w:rsid w:val="002C26CB"/>
    <w:rsid w:val="002D647E"/>
    <w:rsid w:val="002E1C92"/>
    <w:rsid w:val="002E62EA"/>
    <w:rsid w:val="002F1C99"/>
    <w:rsid w:val="002F2215"/>
    <w:rsid w:val="00304A41"/>
    <w:rsid w:val="003168AA"/>
    <w:rsid w:val="003330B0"/>
    <w:rsid w:val="003535BE"/>
    <w:rsid w:val="00354374"/>
    <w:rsid w:val="003572EB"/>
    <w:rsid w:val="003618B5"/>
    <w:rsid w:val="0036332B"/>
    <w:rsid w:val="00364F22"/>
    <w:rsid w:val="00366740"/>
    <w:rsid w:val="00381BE7"/>
    <w:rsid w:val="0038454F"/>
    <w:rsid w:val="003A5234"/>
    <w:rsid w:val="003A702D"/>
    <w:rsid w:val="003B18C7"/>
    <w:rsid w:val="003B7C8F"/>
    <w:rsid w:val="003C7DC9"/>
    <w:rsid w:val="003E3073"/>
    <w:rsid w:val="003E5F15"/>
    <w:rsid w:val="003F1E16"/>
    <w:rsid w:val="003F3AE0"/>
    <w:rsid w:val="003F7BE4"/>
    <w:rsid w:val="003F7C77"/>
    <w:rsid w:val="00401369"/>
    <w:rsid w:val="004028A1"/>
    <w:rsid w:val="0041150D"/>
    <w:rsid w:val="004130BD"/>
    <w:rsid w:val="00413C1D"/>
    <w:rsid w:val="00414BD2"/>
    <w:rsid w:val="00436196"/>
    <w:rsid w:val="00437951"/>
    <w:rsid w:val="00440518"/>
    <w:rsid w:val="00444C8E"/>
    <w:rsid w:val="00453B1B"/>
    <w:rsid w:val="00462379"/>
    <w:rsid w:val="00476BDE"/>
    <w:rsid w:val="00483624"/>
    <w:rsid w:val="00492A94"/>
    <w:rsid w:val="00495DDF"/>
    <w:rsid w:val="004A3588"/>
    <w:rsid w:val="004A36ED"/>
    <w:rsid w:val="004A571C"/>
    <w:rsid w:val="004B3345"/>
    <w:rsid w:val="004B44E7"/>
    <w:rsid w:val="004C72E8"/>
    <w:rsid w:val="004D138F"/>
    <w:rsid w:val="004D4FD0"/>
    <w:rsid w:val="004E68AE"/>
    <w:rsid w:val="004F17B4"/>
    <w:rsid w:val="004F2CF7"/>
    <w:rsid w:val="004F7685"/>
    <w:rsid w:val="00512E26"/>
    <w:rsid w:val="00516479"/>
    <w:rsid w:val="005416F3"/>
    <w:rsid w:val="00551455"/>
    <w:rsid w:val="00551B8B"/>
    <w:rsid w:val="00557957"/>
    <w:rsid w:val="00560D93"/>
    <w:rsid w:val="00562A3D"/>
    <w:rsid w:val="00563493"/>
    <w:rsid w:val="00570D80"/>
    <w:rsid w:val="005734C1"/>
    <w:rsid w:val="0059095E"/>
    <w:rsid w:val="0059174D"/>
    <w:rsid w:val="005922D1"/>
    <w:rsid w:val="00594059"/>
    <w:rsid w:val="00594CED"/>
    <w:rsid w:val="005E595D"/>
    <w:rsid w:val="005F1EB9"/>
    <w:rsid w:val="005F1F8E"/>
    <w:rsid w:val="005F3E7B"/>
    <w:rsid w:val="00601B38"/>
    <w:rsid w:val="00603817"/>
    <w:rsid w:val="006141C3"/>
    <w:rsid w:val="00614BE4"/>
    <w:rsid w:val="00621A84"/>
    <w:rsid w:val="0062294D"/>
    <w:rsid w:val="0063630B"/>
    <w:rsid w:val="00642B61"/>
    <w:rsid w:val="00646631"/>
    <w:rsid w:val="00654FAD"/>
    <w:rsid w:val="00660299"/>
    <w:rsid w:val="00661A51"/>
    <w:rsid w:val="00670F73"/>
    <w:rsid w:val="00680E09"/>
    <w:rsid w:val="006A1D42"/>
    <w:rsid w:val="006A226C"/>
    <w:rsid w:val="006A686C"/>
    <w:rsid w:val="006B01DC"/>
    <w:rsid w:val="006B5505"/>
    <w:rsid w:val="006C0C91"/>
    <w:rsid w:val="006C5FC4"/>
    <w:rsid w:val="006D4F25"/>
    <w:rsid w:val="006D6709"/>
    <w:rsid w:val="006E10EA"/>
    <w:rsid w:val="006E1F49"/>
    <w:rsid w:val="006F09F6"/>
    <w:rsid w:val="006F2088"/>
    <w:rsid w:val="006F44DD"/>
    <w:rsid w:val="006F53C1"/>
    <w:rsid w:val="00707E10"/>
    <w:rsid w:val="007125B8"/>
    <w:rsid w:val="0071305F"/>
    <w:rsid w:val="00716A2A"/>
    <w:rsid w:val="00735772"/>
    <w:rsid w:val="00737573"/>
    <w:rsid w:val="00750249"/>
    <w:rsid w:val="00752FCA"/>
    <w:rsid w:val="0076033F"/>
    <w:rsid w:val="007627BF"/>
    <w:rsid w:val="007638D9"/>
    <w:rsid w:val="007639E6"/>
    <w:rsid w:val="00770608"/>
    <w:rsid w:val="0077147D"/>
    <w:rsid w:val="0077552F"/>
    <w:rsid w:val="00780F55"/>
    <w:rsid w:val="00785889"/>
    <w:rsid w:val="007952A4"/>
    <w:rsid w:val="0079539A"/>
    <w:rsid w:val="00795621"/>
    <w:rsid w:val="007B4871"/>
    <w:rsid w:val="007B57FF"/>
    <w:rsid w:val="007B5D1F"/>
    <w:rsid w:val="007C2333"/>
    <w:rsid w:val="007D07AF"/>
    <w:rsid w:val="007D11F4"/>
    <w:rsid w:val="007D17A5"/>
    <w:rsid w:val="007F3640"/>
    <w:rsid w:val="00801407"/>
    <w:rsid w:val="008148D9"/>
    <w:rsid w:val="008154C6"/>
    <w:rsid w:val="008221E4"/>
    <w:rsid w:val="00822B16"/>
    <w:rsid w:val="0082317C"/>
    <w:rsid w:val="00823B2D"/>
    <w:rsid w:val="00826C71"/>
    <w:rsid w:val="008346B1"/>
    <w:rsid w:val="0083592D"/>
    <w:rsid w:val="00835970"/>
    <w:rsid w:val="0083772E"/>
    <w:rsid w:val="0084138B"/>
    <w:rsid w:val="008443DA"/>
    <w:rsid w:val="0085197F"/>
    <w:rsid w:val="008672C0"/>
    <w:rsid w:val="00875CBF"/>
    <w:rsid w:val="00890089"/>
    <w:rsid w:val="0089348B"/>
    <w:rsid w:val="008B10EC"/>
    <w:rsid w:val="008B7933"/>
    <w:rsid w:val="008C21EB"/>
    <w:rsid w:val="008C2FDA"/>
    <w:rsid w:val="008D158C"/>
    <w:rsid w:val="008D2B1B"/>
    <w:rsid w:val="008E03A6"/>
    <w:rsid w:val="008F07CA"/>
    <w:rsid w:val="008F0800"/>
    <w:rsid w:val="008F6EE8"/>
    <w:rsid w:val="00910D50"/>
    <w:rsid w:val="00913455"/>
    <w:rsid w:val="00913915"/>
    <w:rsid w:val="009139C4"/>
    <w:rsid w:val="00923382"/>
    <w:rsid w:val="009306EE"/>
    <w:rsid w:val="00930B3B"/>
    <w:rsid w:val="00936267"/>
    <w:rsid w:val="00937E19"/>
    <w:rsid w:val="00943DEB"/>
    <w:rsid w:val="0094459C"/>
    <w:rsid w:val="0094763E"/>
    <w:rsid w:val="009507FF"/>
    <w:rsid w:val="00950D52"/>
    <w:rsid w:val="00955A89"/>
    <w:rsid w:val="009565B8"/>
    <w:rsid w:val="009572BA"/>
    <w:rsid w:val="00973B97"/>
    <w:rsid w:val="00977526"/>
    <w:rsid w:val="00983BD5"/>
    <w:rsid w:val="00986217"/>
    <w:rsid w:val="009919F7"/>
    <w:rsid w:val="00993103"/>
    <w:rsid w:val="00994EE4"/>
    <w:rsid w:val="009A30E5"/>
    <w:rsid w:val="009A3F66"/>
    <w:rsid w:val="009B2569"/>
    <w:rsid w:val="009B3A76"/>
    <w:rsid w:val="009B7682"/>
    <w:rsid w:val="009D0B11"/>
    <w:rsid w:val="009F7637"/>
    <w:rsid w:val="00A023F0"/>
    <w:rsid w:val="00A21BB2"/>
    <w:rsid w:val="00A227A4"/>
    <w:rsid w:val="00A26917"/>
    <w:rsid w:val="00A425D3"/>
    <w:rsid w:val="00A72D33"/>
    <w:rsid w:val="00A73868"/>
    <w:rsid w:val="00A75114"/>
    <w:rsid w:val="00A903BF"/>
    <w:rsid w:val="00AB3CCA"/>
    <w:rsid w:val="00AB5B3A"/>
    <w:rsid w:val="00AB6474"/>
    <w:rsid w:val="00AC7302"/>
    <w:rsid w:val="00AD278A"/>
    <w:rsid w:val="00AD7868"/>
    <w:rsid w:val="00AE0F36"/>
    <w:rsid w:val="00AE5693"/>
    <w:rsid w:val="00AF01F8"/>
    <w:rsid w:val="00AF3781"/>
    <w:rsid w:val="00B15AAF"/>
    <w:rsid w:val="00B20E73"/>
    <w:rsid w:val="00B21850"/>
    <w:rsid w:val="00B27900"/>
    <w:rsid w:val="00B351BE"/>
    <w:rsid w:val="00B4695C"/>
    <w:rsid w:val="00B53E6D"/>
    <w:rsid w:val="00B55717"/>
    <w:rsid w:val="00B603B4"/>
    <w:rsid w:val="00B627F9"/>
    <w:rsid w:val="00B667B6"/>
    <w:rsid w:val="00B75244"/>
    <w:rsid w:val="00B75E24"/>
    <w:rsid w:val="00B903F7"/>
    <w:rsid w:val="00BB7278"/>
    <w:rsid w:val="00BC42BF"/>
    <w:rsid w:val="00BD4A2B"/>
    <w:rsid w:val="00BD4BE1"/>
    <w:rsid w:val="00BF1A91"/>
    <w:rsid w:val="00BF1B65"/>
    <w:rsid w:val="00BF3515"/>
    <w:rsid w:val="00BF486A"/>
    <w:rsid w:val="00C051A6"/>
    <w:rsid w:val="00C109A7"/>
    <w:rsid w:val="00C10E68"/>
    <w:rsid w:val="00C31A21"/>
    <w:rsid w:val="00C354C8"/>
    <w:rsid w:val="00C358F5"/>
    <w:rsid w:val="00C44C0C"/>
    <w:rsid w:val="00C50752"/>
    <w:rsid w:val="00C53B99"/>
    <w:rsid w:val="00C622D2"/>
    <w:rsid w:val="00C6596C"/>
    <w:rsid w:val="00C67612"/>
    <w:rsid w:val="00C77CCC"/>
    <w:rsid w:val="00C90767"/>
    <w:rsid w:val="00C9281F"/>
    <w:rsid w:val="00C93A33"/>
    <w:rsid w:val="00C94193"/>
    <w:rsid w:val="00C9664E"/>
    <w:rsid w:val="00CA2581"/>
    <w:rsid w:val="00CA77AE"/>
    <w:rsid w:val="00CB6FFB"/>
    <w:rsid w:val="00CB7999"/>
    <w:rsid w:val="00CC5219"/>
    <w:rsid w:val="00CD37D0"/>
    <w:rsid w:val="00CD7373"/>
    <w:rsid w:val="00CD78F3"/>
    <w:rsid w:val="00CE4C1C"/>
    <w:rsid w:val="00CE5A0D"/>
    <w:rsid w:val="00CF0026"/>
    <w:rsid w:val="00CF62FF"/>
    <w:rsid w:val="00D043B4"/>
    <w:rsid w:val="00D17CF0"/>
    <w:rsid w:val="00D17EDF"/>
    <w:rsid w:val="00D22147"/>
    <w:rsid w:val="00D424A9"/>
    <w:rsid w:val="00D44BF5"/>
    <w:rsid w:val="00D45F06"/>
    <w:rsid w:val="00D46265"/>
    <w:rsid w:val="00D62DA5"/>
    <w:rsid w:val="00D64C94"/>
    <w:rsid w:val="00D6777D"/>
    <w:rsid w:val="00D82C64"/>
    <w:rsid w:val="00D90D3D"/>
    <w:rsid w:val="00DA381E"/>
    <w:rsid w:val="00DA454B"/>
    <w:rsid w:val="00DB4777"/>
    <w:rsid w:val="00DC0815"/>
    <w:rsid w:val="00DC418E"/>
    <w:rsid w:val="00DC4ACD"/>
    <w:rsid w:val="00DC6FEC"/>
    <w:rsid w:val="00DD0E7A"/>
    <w:rsid w:val="00DE4978"/>
    <w:rsid w:val="00DF588C"/>
    <w:rsid w:val="00E11511"/>
    <w:rsid w:val="00E14BCF"/>
    <w:rsid w:val="00E25F7E"/>
    <w:rsid w:val="00E33986"/>
    <w:rsid w:val="00E447B4"/>
    <w:rsid w:val="00E46479"/>
    <w:rsid w:val="00E55E1E"/>
    <w:rsid w:val="00E61EC7"/>
    <w:rsid w:val="00E622A2"/>
    <w:rsid w:val="00E7014D"/>
    <w:rsid w:val="00E70508"/>
    <w:rsid w:val="00E7107D"/>
    <w:rsid w:val="00E84D32"/>
    <w:rsid w:val="00E85A87"/>
    <w:rsid w:val="00E87A1E"/>
    <w:rsid w:val="00E93CD4"/>
    <w:rsid w:val="00EA5C33"/>
    <w:rsid w:val="00EB4997"/>
    <w:rsid w:val="00EC0E31"/>
    <w:rsid w:val="00EC10B4"/>
    <w:rsid w:val="00EC5E25"/>
    <w:rsid w:val="00EC6B83"/>
    <w:rsid w:val="00ED1FE7"/>
    <w:rsid w:val="00ED2BF9"/>
    <w:rsid w:val="00EE05F6"/>
    <w:rsid w:val="00EE2811"/>
    <w:rsid w:val="00EF0B82"/>
    <w:rsid w:val="00EF7499"/>
    <w:rsid w:val="00F0044A"/>
    <w:rsid w:val="00F018F4"/>
    <w:rsid w:val="00F02859"/>
    <w:rsid w:val="00F140FD"/>
    <w:rsid w:val="00F25286"/>
    <w:rsid w:val="00F306F8"/>
    <w:rsid w:val="00F30FFC"/>
    <w:rsid w:val="00F4487D"/>
    <w:rsid w:val="00F466D4"/>
    <w:rsid w:val="00F46F08"/>
    <w:rsid w:val="00F472B8"/>
    <w:rsid w:val="00F47691"/>
    <w:rsid w:val="00F61162"/>
    <w:rsid w:val="00F766A9"/>
    <w:rsid w:val="00F85E2D"/>
    <w:rsid w:val="00F908DA"/>
    <w:rsid w:val="00F96C7D"/>
    <w:rsid w:val="00FA27D9"/>
    <w:rsid w:val="00FA393E"/>
    <w:rsid w:val="00FA4818"/>
    <w:rsid w:val="00FA57D1"/>
    <w:rsid w:val="00FB148D"/>
    <w:rsid w:val="00FD2235"/>
    <w:rsid w:val="00FD38E9"/>
    <w:rsid w:val="00FD6137"/>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paragraph" w:styleId="Akapitzlist">
    <w:name w:val="List Paragraph"/>
    <w:basedOn w:val="Normalny"/>
    <w:uiPriority w:val="34"/>
    <w:qFormat/>
    <w:rsid w:val="000A757A"/>
    <w:pPr>
      <w:ind w:left="720"/>
      <w:contextualSpacing/>
    </w:pPr>
  </w:style>
  <w:style w:type="paragraph" w:styleId="Bezodstpw">
    <w:name w:val="No Spacing"/>
    <w:uiPriority w:val="1"/>
    <w:qFormat/>
    <w:rsid w:val="004D4FD0"/>
    <w:pPr>
      <w:widowControl/>
    </w:pPr>
    <w:rPr>
      <w:rFonts w:asciiTheme="minorHAnsi" w:eastAsiaTheme="minorEastAsia" w:hAnsiTheme="minorHAnsi" w:cstheme="minorBidi"/>
      <w:sz w:val="22"/>
      <w:szCs w:val="22"/>
      <w:lang w:val="pl-PL" w:bidi="pl-PL"/>
    </w:rPr>
  </w:style>
  <w:style w:type="character" w:customStyle="1" w:styleId="Teksttreci2">
    <w:name w:val="Tekst treści (2)_"/>
    <w:basedOn w:val="Domylnaczcionkaakapitu"/>
    <w:link w:val="Teksttreci20"/>
    <w:locked/>
    <w:rsid w:val="004D4FD0"/>
    <w:rPr>
      <w:rFonts w:ascii="Tahoma" w:eastAsia="Tahoma" w:hAnsi="Tahoma" w:cs="Tahoma"/>
      <w:sz w:val="12"/>
      <w:szCs w:val="12"/>
      <w:shd w:val="clear" w:color="auto" w:fill="FFFFFF"/>
    </w:rPr>
  </w:style>
  <w:style w:type="paragraph" w:customStyle="1" w:styleId="Teksttreci20">
    <w:name w:val="Tekst treści (2)"/>
    <w:basedOn w:val="Normalny"/>
    <w:link w:val="Teksttreci2"/>
    <w:rsid w:val="004D4FD0"/>
    <w:pPr>
      <w:shd w:val="clear" w:color="auto" w:fill="FFFFFF"/>
      <w:spacing w:after="180" w:line="0" w:lineRule="atLeast"/>
    </w:pPr>
    <w:rPr>
      <w:rFonts w:ascii="Tahoma" w:eastAsia="Tahoma" w:hAnsi="Tahoma" w:cs="Tahoma"/>
      <w:color w:val="auto"/>
      <w:sz w:val="12"/>
      <w:szCs w:val="12"/>
    </w:rPr>
  </w:style>
  <w:style w:type="character" w:customStyle="1" w:styleId="TeksttreciExact">
    <w:name w:val="Tekst treści Exact"/>
    <w:basedOn w:val="Domylnaczcionkaakapitu"/>
    <w:rsid w:val="004D4FD0"/>
    <w:rPr>
      <w:rFonts w:ascii="Segoe UI" w:eastAsia="Segoe UI" w:hAnsi="Segoe UI" w:cs="Segoe UI" w:hint="default"/>
      <w:b w:val="0"/>
      <w:bCs w:val="0"/>
      <w:i w:val="0"/>
      <w:iCs w:val="0"/>
      <w:smallCaps w:val="0"/>
      <w:strike w:val="0"/>
      <w:dstrike w:val="0"/>
      <w:spacing w:val="-4"/>
      <w:sz w:val="13"/>
      <w:szCs w:val="13"/>
      <w:u w:val="none"/>
      <w:effect w:val="none"/>
    </w:rPr>
  </w:style>
  <w:style w:type="character" w:customStyle="1" w:styleId="Teksttreci2Exact">
    <w:name w:val="Tekst treści (2) Exact"/>
    <w:basedOn w:val="Domylnaczcionkaakapitu"/>
    <w:rsid w:val="004D4FD0"/>
    <w:rPr>
      <w:rFonts w:ascii="Tahoma" w:eastAsia="Tahoma" w:hAnsi="Tahoma" w:cs="Tahoma" w:hint="default"/>
      <w:b w:val="0"/>
      <w:bCs w:val="0"/>
      <w:i w:val="0"/>
      <w:iCs w:val="0"/>
      <w:smallCaps w:val="0"/>
      <w:strike w:val="0"/>
      <w:dstrike w:val="0"/>
      <w:spacing w:val="-4"/>
      <w:sz w:val="12"/>
      <w:szCs w:val="12"/>
      <w:u w:val="none"/>
      <w:effect w:val="none"/>
    </w:rPr>
  </w:style>
  <w:style w:type="table" w:styleId="Tabela-Siatka">
    <w:name w:val="Table Grid"/>
    <w:basedOn w:val="Standardowy"/>
    <w:uiPriority w:val="59"/>
    <w:rsid w:val="004D4FD0"/>
    <w:pPr>
      <w:widowControl/>
    </w:pPr>
    <w:rPr>
      <w:rFonts w:asciiTheme="minorHAnsi" w:eastAsiaTheme="minorEastAsia" w:hAnsiTheme="minorHAnsi" w:cstheme="minorBidi"/>
      <w:sz w:val="22"/>
      <w:szCs w:val="22"/>
      <w:lang w:val="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12062F"/>
    <w:rPr>
      <w:i/>
      <w:iCs/>
      <w:lang w:val="pl-PL"/>
    </w:rPr>
  </w:style>
  <w:style w:type="character" w:customStyle="1" w:styleId="CytatZnak">
    <w:name w:val="Cytat Znak"/>
    <w:basedOn w:val="Domylnaczcionkaakapitu"/>
    <w:link w:val="Cytat"/>
    <w:uiPriority w:val="29"/>
    <w:rsid w:val="0012062F"/>
    <w:rPr>
      <w:i/>
      <w:iCs/>
      <w:color w:val="000000"/>
      <w:lang w:val="pl-PL"/>
    </w:rPr>
  </w:style>
  <w:style w:type="character" w:customStyle="1" w:styleId="Nagwek20">
    <w:name w:val="Nagłówek #2_"/>
    <w:link w:val="Nagwek21"/>
    <w:locked/>
    <w:rsid w:val="0012062F"/>
    <w:rPr>
      <w:rFonts w:ascii="Times New Roman" w:eastAsia="Times New Roman" w:hAnsi="Times New Roman" w:cs="Times New Roman"/>
      <w:b/>
      <w:bCs/>
      <w:sz w:val="29"/>
      <w:szCs w:val="29"/>
      <w:shd w:val="clear" w:color="auto" w:fill="FFFFFF"/>
    </w:rPr>
  </w:style>
  <w:style w:type="paragraph" w:customStyle="1" w:styleId="Nagwek21">
    <w:name w:val="Nagłówek #2"/>
    <w:basedOn w:val="Normalny"/>
    <w:link w:val="Nagwek20"/>
    <w:rsid w:val="0012062F"/>
    <w:pPr>
      <w:shd w:val="clear" w:color="auto" w:fill="FFFFFF"/>
      <w:spacing w:before="540" w:after="300" w:line="0" w:lineRule="atLeast"/>
      <w:outlineLvl w:val="1"/>
    </w:pPr>
    <w:rPr>
      <w:rFonts w:ascii="Times New Roman" w:eastAsia="Times New Roman" w:hAnsi="Times New Roman" w:cs="Times New Roman"/>
      <w:b/>
      <w:bCs/>
      <w:color w:val="auto"/>
      <w:sz w:val="29"/>
      <w:szCs w:val="29"/>
    </w:rPr>
  </w:style>
  <w:style w:type="character" w:customStyle="1" w:styleId="Nagwek4">
    <w:name w:val="Nagłówek #4_"/>
    <w:link w:val="Nagwek40"/>
    <w:locked/>
    <w:rsid w:val="0012062F"/>
    <w:rPr>
      <w:rFonts w:ascii="Arial Narrow" w:eastAsia="Arial Narrow" w:hAnsi="Arial Narrow" w:cs="Arial Narrow"/>
      <w:sz w:val="23"/>
      <w:szCs w:val="23"/>
      <w:shd w:val="clear" w:color="auto" w:fill="FFFFFF"/>
    </w:rPr>
  </w:style>
  <w:style w:type="paragraph" w:customStyle="1" w:styleId="Nagwek40">
    <w:name w:val="Nagłówek #4"/>
    <w:basedOn w:val="Normalny"/>
    <w:link w:val="Nagwek4"/>
    <w:rsid w:val="0012062F"/>
    <w:pPr>
      <w:shd w:val="clear" w:color="auto" w:fill="FFFFFF"/>
      <w:spacing w:before="300" w:after="120" w:line="0" w:lineRule="atLeast"/>
      <w:jc w:val="both"/>
      <w:outlineLvl w:val="3"/>
    </w:pPr>
    <w:rPr>
      <w:rFonts w:ascii="Arial Narrow" w:eastAsia="Arial Narrow" w:hAnsi="Arial Narrow" w:cs="Arial Narrow"/>
      <w:color w:val="auto"/>
      <w:sz w:val="23"/>
      <w:szCs w:val="23"/>
    </w:rPr>
  </w:style>
  <w:style w:type="character" w:customStyle="1" w:styleId="Nagwek30">
    <w:name w:val="Nagłówek #3_"/>
    <w:link w:val="Nagwek31"/>
    <w:locked/>
    <w:rsid w:val="0012062F"/>
    <w:rPr>
      <w:rFonts w:ascii="Arial Narrow" w:eastAsia="Arial Narrow" w:hAnsi="Arial Narrow" w:cs="Arial Narrow"/>
      <w:sz w:val="23"/>
      <w:szCs w:val="23"/>
      <w:shd w:val="clear" w:color="auto" w:fill="FFFFFF"/>
    </w:rPr>
  </w:style>
  <w:style w:type="paragraph" w:customStyle="1" w:styleId="Nagwek31">
    <w:name w:val="Nagłówek #3"/>
    <w:basedOn w:val="Normalny"/>
    <w:link w:val="Nagwek30"/>
    <w:rsid w:val="0012062F"/>
    <w:pPr>
      <w:shd w:val="clear" w:color="auto" w:fill="FFFFFF"/>
      <w:spacing w:before="540" w:after="120" w:line="0" w:lineRule="atLeast"/>
      <w:jc w:val="both"/>
      <w:outlineLvl w:val="2"/>
    </w:pPr>
    <w:rPr>
      <w:rFonts w:ascii="Arial Narrow" w:eastAsia="Arial Narrow" w:hAnsi="Arial Narrow" w:cs="Arial Narrow"/>
      <w:color w:val="auto"/>
      <w:sz w:val="23"/>
      <w:szCs w:val="23"/>
    </w:rPr>
  </w:style>
  <w:style w:type="character" w:styleId="Pogrubienie">
    <w:name w:val="Strong"/>
    <w:aliases w:val="Tekst treści + 8 pt"/>
    <w:uiPriority w:val="22"/>
    <w:qFormat/>
    <w:rsid w:val="0012062F"/>
    <w:rPr>
      <w:rFonts w:ascii="Arial Narrow" w:eastAsia="Arial Narrow" w:hAnsi="Arial Narrow" w:cs="Arial Narrow" w:hint="default"/>
      <w:b/>
      <w:bCs/>
      <w:strike w:val="0"/>
      <w:dstrike w:val="0"/>
      <w:color w:val="000000"/>
      <w:spacing w:val="0"/>
      <w:w w:val="100"/>
      <w:position w:val="0"/>
      <w:sz w:val="16"/>
      <w:szCs w:val="16"/>
      <w:u w:val="none"/>
      <w:effect w:val="none"/>
      <w:lang w:val="pl-PL" w:eastAsia="pl-PL"/>
    </w:rPr>
  </w:style>
  <w:style w:type="character" w:customStyle="1" w:styleId="Teksttreci4pt">
    <w:name w:val="Tekst treści + 4 pt"/>
    <w:rsid w:val="0012062F"/>
    <w:rPr>
      <w:rFonts w:ascii="Arial Narrow" w:eastAsia="Arial Narrow" w:hAnsi="Arial Narrow" w:cs="Arial Narrow" w:hint="default"/>
      <w:strike w:val="0"/>
      <w:dstrike w:val="0"/>
      <w:color w:val="000000"/>
      <w:spacing w:val="0"/>
      <w:w w:val="100"/>
      <w:position w:val="0"/>
      <w:sz w:val="8"/>
      <w:szCs w:val="8"/>
      <w:u w:val="none"/>
      <w:effect w:val="none"/>
      <w:lang w:val="pl-PL" w:eastAsia="pl-PL"/>
    </w:rPr>
  </w:style>
  <w:style w:type="character" w:customStyle="1" w:styleId="Teksttreci11">
    <w:name w:val="Tekst treści + 11"/>
    <w:aliases w:val="5 pt"/>
    <w:rsid w:val="0012062F"/>
    <w:rPr>
      <w:rFonts w:ascii="Arial Narrow" w:eastAsia="Arial Narrow" w:hAnsi="Arial Narrow" w:cs="Arial Narrow" w:hint="default"/>
      <w:strike w:val="0"/>
      <w:dstrike w:val="0"/>
      <w:color w:val="000000"/>
      <w:spacing w:val="0"/>
      <w:w w:val="100"/>
      <w:position w:val="0"/>
      <w:sz w:val="10"/>
      <w:szCs w:val="10"/>
      <w:u w:val="none"/>
      <w:effect w:val="none"/>
      <w:lang w:val="pl-PL" w:eastAsia="pl-PL"/>
    </w:rPr>
  </w:style>
  <w:style w:type="character" w:customStyle="1" w:styleId="TeksttreciPogrubienie">
    <w:name w:val="Tekst treści + Pogrubienie"/>
    <w:rsid w:val="0012062F"/>
    <w:rPr>
      <w:rFonts w:ascii="Arial Narrow" w:eastAsia="Arial Narrow" w:hAnsi="Arial Narrow" w:cs="Arial Narrow" w:hint="default"/>
      <w:b/>
      <w:bCs/>
      <w:strike w:val="0"/>
      <w:dstrike w:val="0"/>
      <w:color w:val="000000"/>
      <w:spacing w:val="0"/>
      <w:w w:val="100"/>
      <w:position w:val="0"/>
      <w:sz w:val="15"/>
      <w:szCs w:val="15"/>
      <w:u w:val="none"/>
      <w:effect w:val="none"/>
      <w:lang w:val="pl-PL" w:eastAsia="pl-PL"/>
    </w:rPr>
  </w:style>
  <w:style w:type="character" w:customStyle="1" w:styleId="Teksttreci3ArialNarrow">
    <w:name w:val="Tekst treści (3) + Arial Narrow"/>
    <w:rsid w:val="0012062F"/>
    <w:rPr>
      <w:rFonts w:ascii="Arial Narrow" w:eastAsia="Arial Narrow" w:hAnsi="Arial Narrow" w:cs="Arial Narrow" w:hint="default"/>
      <w:strike w:val="0"/>
      <w:dstrike w:val="0"/>
      <w:color w:val="000000"/>
      <w:spacing w:val="0"/>
      <w:w w:val="100"/>
      <w:position w:val="0"/>
      <w:sz w:val="15"/>
      <w:szCs w:val="15"/>
      <w:u w:val="none"/>
      <w:effect w:val="none"/>
      <w:lang w:val="pl-PL" w:eastAsia="pl-PL"/>
    </w:rPr>
  </w:style>
  <w:style w:type="character" w:customStyle="1" w:styleId="med1">
    <w:name w:val="med1"/>
    <w:basedOn w:val="Domylnaczcionkaakapitu"/>
    <w:rsid w:val="00354374"/>
  </w:style>
  <w:style w:type="paragraph" w:styleId="Tekstprzypisukocowego">
    <w:name w:val="endnote text"/>
    <w:basedOn w:val="Normalny"/>
    <w:link w:val="TekstprzypisukocowegoZnak"/>
    <w:uiPriority w:val="99"/>
    <w:semiHidden/>
    <w:unhideWhenUsed/>
    <w:rsid w:val="009B7682"/>
    <w:rPr>
      <w:sz w:val="20"/>
      <w:szCs w:val="20"/>
    </w:rPr>
  </w:style>
  <w:style w:type="character" w:customStyle="1" w:styleId="TekstprzypisukocowegoZnak">
    <w:name w:val="Tekst przypisu końcowego Znak"/>
    <w:basedOn w:val="Domylnaczcionkaakapitu"/>
    <w:link w:val="Tekstprzypisukocowego"/>
    <w:uiPriority w:val="99"/>
    <w:semiHidden/>
    <w:rsid w:val="009B7682"/>
    <w:rPr>
      <w:color w:val="000000"/>
      <w:sz w:val="20"/>
      <w:szCs w:val="20"/>
    </w:rPr>
  </w:style>
  <w:style w:type="character" w:styleId="Odwoanieprzypisukocowego">
    <w:name w:val="endnote reference"/>
    <w:basedOn w:val="Domylnaczcionkaakapitu"/>
    <w:uiPriority w:val="99"/>
    <w:semiHidden/>
    <w:unhideWhenUsed/>
    <w:rsid w:val="009B7682"/>
    <w:rPr>
      <w:vertAlign w:val="superscript"/>
    </w:rPr>
  </w:style>
  <w:style w:type="table" w:customStyle="1" w:styleId="TableGrid">
    <w:name w:val="TableGrid"/>
    <w:rsid w:val="00A023F0"/>
    <w:pPr>
      <w:widowControl/>
    </w:pPr>
    <w:rPr>
      <w:rFonts w:asciiTheme="minorHAnsi" w:eastAsiaTheme="minorEastAsia" w:hAnsiTheme="minorHAnsi" w:cstheme="minorBidi"/>
      <w:sz w:val="22"/>
      <w:szCs w:val="22"/>
      <w:lang w:val="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paragraph" w:styleId="Akapitzlist">
    <w:name w:val="List Paragraph"/>
    <w:basedOn w:val="Normalny"/>
    <w:uiPriority w:val="34"/>
    <w:qFormat/>
    <w:rsid w:val="000A757A"/>
    <w:pPr>
      <w:ind w:left="720"/>
      <w:contextualSpacing/>
    </w:pPr>
  </w:style>
  <w:style w:type="paragraph" w:styleId="Bezodstpw">
    <w:name w:val="No Spacing"/>
    <w:uiPriority w:val="1"/>
    <w:qFormat/>
    <w:rsid w:val="004D4FD0"/>
    <w:pPr>
      <w:widowControl/>
    </w:pPr>
    <w:rPr>
      <w:rFonts w:asciiTheme="minorHAnsi" w:eastAsiaTheme="minorEastAsia" w:hAnsiTheme="minorHAnsi" w:cstheme="minorBidi"/>
      <w:sz w:val="22"/>
      <w:szCs w:val="22"/>
      <w:lang w:val="pl-PL" w:bidi="pl-PL"/>
    </w:rPr>
  </w:style>
  <w:style w:type="character" w:customStyle="1" w:styleId="Teksttreci2">
    <w:name w:val="Tekst treści (2)_"/>
    <w:basedOn w:val="Domylnaczcionkaakapitu"/>
    <w:link w:val="Teksttreci20"/>
    <w:locked/>
    <w:rsid w:val="004D4FD0"/>
    <w:rPr>
      <w:rFonts w:ascii="Tahoma" w:eastAsia="Tahoma" w:hAnsi="Tahoma" w:cs="Tahoma"/>
      <w:sz w:val="12"/>
      <w:szCs w:val="12"/>
      <w:shd w:val="clear" w:color="auto" w:fill="FFFFFF"/>
    </w:rPr>
  </w:style>
  <w:style w:type="paragraph" w:customStyle="1" w:styleId="Teksttreci20">
    <w:name w:val="Tekst treści (2)"/>
    <w:basedOn w:val="Normalny"/>
    <w:link w:val="Teksttreci2"/>
    <w:rsid w:val="004D4FD0"/>
    <w:pPr>
      <w:shd w:val="clear" w:color="auto" w:fill="FFFFFF"/>
      <w:spacing w:after="180" w:line="0" w:lineRule="atLeast"/>
    </w:pPr>
    <w:rPr>
      <w:rFonts w:ascii="Tahoma" w:eastAsia="Tahoma" w:hAnsi="Tahoma" w:cs="Tahoma"/>
      <w:color w:val="auto"/>
      <w:sz w:val="12"/>
      <w:szCs w:val="12"/>
    </w:rPr>
  </w:style>
  <w:style w:type="character" w:customStyle="1" w:styleId="TeksttreciExact">
    <w:name w:val="Tekst treści Exact"/>
    <w:basedOn w:val="Domylnaczcionkaakapitu"/>
    <w:rsid w:val="004D4FD0"/>
    <w:rPr>
      <w:rFonts w:ascii="Segoe UI" w:eastAsia="Segoe UI" w:hAnsi="Segoe UI" w:cs="Segoe UI" w:hint="default"/>
      <w:b w:val="0"/>
      <w:bCs w:val="0"/>
      <w:i w:val="0"/>
      <w:iCs w:val="0"/>
      <w:smallCaps w:val="0"/>
      <w:strike w:val="0"/>
      <w:dstrike w:val="0"/>
      <w:spacing w:val="-4"/>
      <w:sz w:val="13"/>
      <w:szCs w:val="13"/>
      <w:u w:val="none"/>
      <w:effect w:val="none"/>
    </w:rPr>
  </w:style>
  <w:style w:type="character" w:customStyle="1" w:styleId="Teksttreci2Exact">
    <w:name w:val="Tekst treści (2) Exact"/>
    <w:basedOn w:val="Domylnaczcionkaakapitu"/>
    <w:rsid w:val="004D4FD0"/>
    <w:rPr>
      <w:rFonts w:ascii="Tahoma" w:eastAsia="Tahoma" w:hAnsi="Tahoma" w:cs="Tahoma" w:hint="default"/>
      <w:b w:val="0"/>
      <w:bCs w:val="0"/>
      <w:i w:val="0"/>
      <w:iCs w:val="0"/>
      <w:smallCaps w:val="0"/>
      <w:strike w:val="0"/>
      <w:dstrike w:val="0"/>
      <w:spacing w:val="-4"/>
      <w:sz w:val="12"/>
      <w:szCs w:val="12"/>
      <w:u w:val="none"/>
      <w:effect w:val="none"/>
    </w:rPr>
  </w:style>
  <w:style w:type="table" w:styleId="Tabela-Siatka">
    <w:name w:val="Table Grid"/>
    <w:basedOn w:val="Standardowy"/>
    <w:uiPriority w:val="59"/>
    <w:rsid w:val="004D4FD0"/>
    <w:pPr>
      <w:widowControl/>
    </w:pPr>
    <w:rPr>
      <w:rFonts w:asciiTheme="minorHAnsi" w:eastAsiaTheme="minorEastAsia" w:hAnsiTheme="minorHAnsi" w:cstheme="minorBidi"/>
      <w:sz w:val="22"/>
      <w:szCs w:val="22"/>
      <w:lang w:val="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12062F"/>
    <w:rPr>
      <w:i/>
      <w:iCs/>
      <w:lang w:val="pl-PL"/>
    </w:rPr>
  </w:style>
  <w:style w:type="character" w:customStyle="1" w:styleId="CytatZnak">
    <w:name w:val="Cytat Znak"/>
    <w:basedOn w:val="Domylnaczcionkaakapitu"/>
    <w:link w:val="Cytat"/>
    <w:uiPriority w:val="29"/>
    <w:rsid w:val="0012062F"/>
    <w:rPr>
      <w:i/>
      <w:iCs/>
      <w:color w:val="000000"/>
      <w:lang w:val="pl-PL"/>
    </w:rPr>
  </w:style>
  <w:style w:type="character" w:customStyle="1" w:styleId="Nagwek20">
    <w:name w:val="Nagłówek #2_"/>
    <w:link w:val="Nagwek21"/>
    <w:locked/>
    <w:rsid w:val="0012062F"/>
    <w:rPr>
      <w:rFonts w:ascii="Times New Roman" w:eastAsia="Times New Roman" w:hAnsi="Times New Roman" w:cs="Times New Roman"/>
      <w:b/>
      <w:bCs/>
      <w:sz w:val="29"/>
      <w:szCs w:val="29"/>
      <w:shd w:val="clear" w:color="auto" w:fill="FFFFFF"/>
    </w:rPr>
  </w:style>
  <w:style w:type="paragraph" w:customStyle="1" w:styleId="Nagwek21">
    <w:name w:val="Nagłówek #2"/>
    <w:basedOn w:val="Normalny"/>
    <w:link w:val="Nagwek20"/>
    <w:rsid w:val="0012062F"/>
    <w:pPr>
      <w:shd w:val="clear" w:color="auto" w:fill="FFFFFF"/>
      <w:spacing w:before="540" w:after="300" w:line="0" w:lineRule="atLeast"/>
      <w:outlineLvl w:val="1"/>
    </w:pPr>
    <w:rPr>
      <w:rFonts w:ascii="Times New Roman" w:eastAsia="Times New Roman" w:hAnsi="Times New Roman" w:cs="Times New Roman"/>
      <w:b/>
      <w:bCs/>
      <w:color w:val="auto"/>
      <w:sz w:val="29"/>
      <w:szCs w:val="29"/>
    </w:rPr>
  </w:style>
  <w:style w:type="character" w:customStyle="1" w:styleId="Nagwek4">
    <w:name w:val="Nagłówek #4_"/>
    <w:link w:val="Nagwek40"/>
    <w:locked/>
    <w:rsid w:val="0012062F"/>
    <w:rPr>
      <w:rFonts w:ascii="Arial Narrow" w:eastAsia="Arial Narrow" w:hAnsi="Arial Narrow" w:cs="Arial Narrow"/>
      <w:sz w:val="23"/>
      <w:szCs w:val="23"/>
      <w:shd w:val="clear" w:color="auto" w:fill="FFFFFF"/>
    </w:rPr>
  </w:style>
  <w:style w:type="paragraph" w:customStyle="1" w:styleId="Nagwek40">
    <w:name w:val="Nagłówek #4"/>
    <w:basedOn w:val="Normalny"/>
    <w:link w:val="Nagwek4"/>
    <w:rsid w:val="0012062F"/>
    <w:pPr>
      <w:shd w:val="clear" w:color="auto" w:fill="FFFFFF"/>
      <w:spacing w:before="300" w:after="120" w:line="0" w:lineRule="atLeast"/>
      <w:jc w:val="both"/>
      <w:outlineLvl w:val="3"/>
    </w:pPr>
    <w:rPr>
      <w:rFonts w:ascii="Arial Narrow" w:eastAsia="Arial Narrow" w:hAnsi="Arial Narrow" w:cs="Arial Narrow"/>
      <w:color w:val="auto"/>
      <w:sz w:val="23"/>
      <w:szCs w:val="23"/>
    </w:rPr>
  </w:style>
  <w:style w:type="character" w:customStyle="1" w:styleId="Nagwek30">
    <w:name w:val="Nagłówek #3_"/>
    <w:link w:val="Nagwek31"/>
    <w:locked/>
    <w:rsid w:val="0012062F"/>
    <w:rPr>
      <w:rFonts w:ascii="Arial Narrow" w:eastAsia="Arial Narrow" w:hAnsi="Arial Narrow" w:cs="Arial Narrow"/>
      <w:sz w:val="23"/>
      <w:szCs w:val="23"/>
      <w:shd w:val="clear" w:color="auto" w:fill="FFFFFF"/>
    </w:rPr>
  </w:style>
  <w:style w:type="paragraph" w:customStyle="1" w:styleId="Nagwek31">
    <w:name w:val="Nagłówek #3"/>
    <w:basedOn w:val="Normalny"/>
    <w:link w:val="Nagwek30"/>
    <w:rsid w:val="0012062F"/>
    <w:pPr>
      <w:shd w:val="clear" w:color="auto" w:fill="FFFFFF"/>
      <w:spacing w:before="540" w:after="120" w:line="0" w:lineRule="atLeast"/>
      <w:jc w:val="both"/>
      <w:outlineLvl w:val="2"/>
    </w:pPr>
    <w:rPr>
      <w:rFonts w:ascii="Arial Narrow" w:eastAsia="Arial Narrow" w:hAnsi="Arial Narrow" w:cs="Arial Narrow"/>
      <w:color w:val="auto"/>
      <w:sz w:val="23"/>
      <w:szCs w:val="23"/>
    </w:rPr>
  </w:style>
  <w:style w:type="character" w:styleId="Pogrubienie">
    <w:name w:val="Strong"/>
    <w:aliases w:val="Tekst treści + 8 pt"/>
    <w:uiPriority w:val="22"/>
    <w:qFormat/>
    <w:rsid w:val="0012062F"/>
    <w:rPr>
      <w:rFonts w:ascii="Arial Narrow" w:eastAsia="Arial Narrow" w:hAnsi="Arial Narrow" w:cs="Arial Narrow" w:hint="default"/>
      <w:b/>
      <w:bCs/>
      <w:strike w:val="0"/>
      <w:dstrike w:val="0"/>
      <w:color w:val="000000"/>
      <w:spacing w:val="0"/>
      <w:w w:val="100"/>
      <w:position w:val="0"/>
      <w:sz w:val="16"/>
      <w:szCs w:val="16"/>
      <w:u w:val="none"/>
      <w:effect w:val="none"/>
      <w:lang w:val="pl-PL" w:eastAsia="pl-PL"/>
    </w:rPr>
  </w:style>
  <w:style w:type="character" w:customStyle="1" w:styleId="Teksttreci4pt">
    <w:name w:val="Tekst treści + 4 pt"/>
    <w:rsid w:val="0012062F"/>
    <w:rPr>
      <w:rFonts w:ascii="Arial Narrow" w:eastAsia="Arial Narrow" w:hAnsi="Arial Narrow" w:cs="Arial Narrow" w:hint="default"/>
      <w:strike w:val="0"/>
      <w:dstrike w:val="0"/>
      <w:color w:val="000000"/>
      <w:spacing w:val="0"/>
      <w:w w:val="100"/>
      <w:position w:val="0"/>
      <w:sz w:val="8"/>
      <w:szCs w:val="8"/>
      <w:u w:val="none"/>
      <w:effect w:val="none"/>
      <w:lang w:val="pl-PL" w:eastAsia="pl-PL"/>
    </w:rPr>
  </w:style>
  <w:style w:type="character" w:customStyle="1" w:styleId="Teksttreci11">
    <w:name w:val="Tekst treści + 11"/>
    <w:aliases w:val="5 pt"/>
    <w:rsid w:val="0012062F"/>
    <w:rPr>
      <w:rFonts w:ascii="Arial Narrow" w:eastAsia="Arial Narrow" w:hAnsi="Arial Narrow" w:cs="Arial Narrow" w:hint="default"/>
      <w:strike w:val="0"/>
      <w:dstrike w:val="0"/>
      <w:color w:val="000000"/>
      <w:spacing w:val="0"/>
      <w:w w:val="100"/>
      <w:position w:val="0"/>
      <w:sz w:val="10"/>
      <w:szCs w:val="10"/>
      <w:u w:val="none"/>
      <w:effect w:val="none"/>
      <w:lang w:val="pl-PL" w:eastAsia="pl-PL"/>
    </w:rPr>
  </w:style>
  <w:style w:type="character" w:customStyle="1" w:styleId="TeksttreciPogrubienie">
    <w:name w:val="Tekst treści + Pogrubienie"/>
    <w:rsid w:val="0012062F"/>
    <w:rPr>
      <w:rFonts w:ascii="Arial Narrow" w:eastAsia="Arial Narrow" w:hAnsi="Arial Narrow" w:cs="Arial Narrow" w:hint="default"/>
      <w:b/>
      <w:bCs/>
      <w:strike w:val="0"/>
      <w:dstrike w:val="0"/>
      <w:color w:val="000000"/>
      <w:spacing w:val="0"/>
      <w:w w:val="100"/>
      <w:position w:val="0"/>
      <w:sz w:val="15"/>
      <w:szCs w:val="15"/>
      <w:u w:val="none"/>
      <w:effect w:val="none"/>
      <w:lang w:val="pl-PL" w:eastAsia="pl-PL"/>
    </w:rPr>
  </w:style>
  <w:style w:type="character" w:customStyle="1" w:styleId="Teksttreci3ArialNarrow">
    <w:name w:val="Tekst treści (3) + Arial Narrow"/>
    <w:rsid w:val="0012062F"/>
    <w:rPr>
      <w:rFonts w:ascii="Arial Narrow" w:eastAsia="Arial Narrow" w:hAnsi="Arial Narrow" w:cs="Arial Narrow" w:hint="default"/>
      <w:strike w:val="0"/>
      <w:dstrike w:val="0"/>
      <w:color w:val="000000"/>
      <w:spacing w:val="0"/>
      <w:w w:val="100"/>
      <w:position w:val="0"/>
      <w:sz w:val="15"/>
      <w:szCs w:val="15"/>
      <w:u w:val="none"/>
      <w:effect w:val="none"/>
      <w:lang w:val="pl-PL" w:eastAsia="pl-PL"/>
    </w:rPr>
  </w:style>
  <w:style w:type="character" w:customStyle="1" w:styleId="med1">
    <w:name w:val="med1"/>
    <w:basedOn w:val="Domylnaczcionkaakapitu"/>
    <w:rsid w:val="00354374"/>
  </w:style>
  <w:style w:type="paragraph" w:styleId="Tekstprzypisukocowego">
    <w:name w:val="endnote text"/>
    <w:basedOn w:val="Normalny"/>
    <w:link w:val="TekstprzypisukocowegoZnak"/>
    <w:uiPriority w:val="99"/>
    <w:semiHidden/>
    <w:unhideWhenUsed/>
    <w:rsid w:val="009B7682"/>
    <w:rPr>
      <w:sz w:val="20"/>
      <w:szCs w:val="20"/>
    </w:rPr>
  </w:style>
  <w:style w:type="character" w:customStyle="1" w:styleId="TekstprzypisukocowegoZnak">
    <w:name w:val="Tekst przypisu końcowego Znak"/>
    <w:basedOn w:val="Domylnaczcionkaakapitu"/>
    <w:link w:val="Tekstprzypisukocowego"/>
    <w:uiPriority w:val="99"/>
    <w:semiHidden/>
    <w:rsid w:val="009B7682"/>
    <w:rPr>
      <w:color w:val="000000"/>
      <w:sz w:val="20"/>
      <w:szCs w:val="20"/>
    </w:rPr>
  </w:style>
  <w:style w:type="character" w:styleId="Odwoanieprzypisukocowego">
    <w:name w:val="endnote reference"/>
    <w:basedOn w:val="Domylnaczcionkaakapitu"/>
    <w:uiPriority w:val="99"/>
    <w:semiHidden/>
    <w:unhideWhenUsed/>
    <w:rsid w:val="009B7682"/>
    <w:rPr>
      <w:vertAlign w:val="superscript"/>
    </w:rPr>
  </w:style>
  <w:style w:type="table" w:customStyle="1" w:styleId="TableGrid">
    <w:name w:val="TableGrid"/>
    <w:rsid w:val="00A023F0"/>
    <w:pPr>
      <w:widowControl/>
    </w:pPr>
    <w:rPr>
      <w:rFonts w:asciiTheme="minorHAnsi" w:eastAsiaTheme="minorEastAsia" w:hAnsiTheme="minorHAnsi" w:cstheme="minorBidi"/>
      <w:sz w:val="22"/>
      <w:szCs w:val="22"/>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2940">
      <w:bodyDiv w:val="1"/>
      <w:marLeft w:val="0"/>
      <w:marRight w:val="0"/>
      <w:marTop w:val="0"/>
      <w:marBottom w:val="0"/>
      <w:divBdr>
        <w:top w:val="none" w:sz="0" w:space="0" w:color="auto"/>
        <w:left w:val="none" w:sz="0" w:space="0" w:color="auto"/>
        <w:bottom w:val="none" w:sz="0" w:space="0" w:color="auto"/>
        <w:right w:val="none" w:sz="0" w:space="0" w:color="auto"/>
      </w:divBdr>
    </w:div>
    <w:div w:id="1180663712">
      <w:bodyDiv w:val="1"/>
      <w:marLeft w:val="0"/>
      <w:marRight w:val="0"/>
      <w:marTop w:val="0"/>
      <w:marBottom w:val="0"/>
      <w:divBdr>
        <w:top w:val="none" w:sz="0" w:space="0" w:color="auto"/>
        <w:left w:val="none" w:sz="0" w:space="0" w:color="auto"/>
        <w:bottom w:val="none" w:sz="0" w:space="0" w:color="auto"/>
        <w:right w:val="none" w:sz="0" w:space="0" w:color="auto"/>
      </w:divBdr>
    </w:div>
    <w:div w:id="1491825437">
      <w:bodyDiv w:val="1"/>
      <w:marLeft w:val="0"/>
      <w:marRight w:val="0"/>
      <w:marTop w:val="0"/>
      <w:marBottom w:val="0"/>
      <w:divBdr>
        <w:top w:val="none" w:sz="0" w:space="0" w:color="auto"/>
        <w:left w:val="none" w:sz="0" w:space="0" w:color="auto"/>
        <w:bottom w:val="none" w:sz="0" w:space="0" w:color="auto"/>
        <w:right w:val="none" w:sz="0" w:space="0" w:color="auto"/>
      </w:divBdr>
    </w:div>
    <w:div w:id="166870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lumacz.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9627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2013-12-04T15:36:00Z</cp:lastPrinted>
  <dcterms:created xsi:type="dcterms:W3CDTF">2018-05-28T05:41:00Z</dcterms:created>
  <dcterms:modified xsi:type="dcterms:W3CDTF">2018-05-28T05:41:00Z</dcterms:modified>
</cp:coreProperties>
</file>