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8FD" w:rsidRPr="00044A73" w:rsidRDefault="002338FD" w:rsidP="00FF5DA6">
      <w:pPr>
        <w:spacing w:after="0" w:line="240" w:lineRule="auto"/>
        <w:ind w:left="426" w:hanging="426"/>
        <w:rPr>
          <w:rStyle w:val="akapitustep1"/>
          <w:rFonts w:ascii="Tahoma" w:hAnsi="Tahoma" w:cs="Tahoma"/>
          <w:b/>
          <w:caps/>
          <w:color w:val="000000" w:themeColor="text1"/>
          <w:lang w:val="kk-KZ"/>
        </w:rPr>
      </w:pPr>
      <w:bookmarkStart w:id="0" w:name="_GoBack"/>
      <w:r w:rsidRPr="00044A73">
        <w:rPr>
          <w:rStyle w:val="akapitustep1"/>
          <w:rFonts w:ascii="Tahoma" w:hAnsi="Tahoma"/>
          <w:b/>
          <w:caps/>
          <w:color w:val="000000" w:themeColor="text1"/>
          <w:lang w:val="kk-KZ"/>
        </w:rPr>
        <w:t>ТҰТҚЫНҒА АЛЫНҒАН ШЕТЕЛ АЗАМАТЫНЫҢ ҚҰҚЫҚТАРЫ БОЙЫНША НҰСҚАУЛЫҚ</w:t>
      </w:r>
    </w:p>
    <w:p w:rsidR="002338FD" w:rsidRPr="00044A73" w:rsidRDefault="002338FD" w:rsidP="00FF5DA6">
      <w:pPr>
        <w:spacing w:after="0" w:line="240" w:lineRule="auto"/>
        <w:ind w:left="426" w:hanging="426"/>
        <w:jc w:val="center"/>
        <w:rPr>
          <w:rStyle w:val="akapitustep1"/>
          <w:rFonts w:ascii="Tahoma" w:hAnsi="Tahoma" w:cs="Tahoma"/>
          <w:bCs/>
          <w:caps/>
          <w:color w:val="000000" w:themeColor="text1"/>
        </w:rPr>
      </w:pPr>
    </w:p>
    <w:p w:rsidR="002338FD" w:rsidRPr="00044A73" w:rsidRDefault="002338FD" w:rsidP="00FF5DA6">
      <w:pPr>
        <w:pStyle w:val="Akapitzlist"/>
        <w:spacing w:after="0" w:line="240" w:lineRule="auto"/>
        <w:ind w:left="426" w:hanging="426"/>
        <w:contextualSpacing w:val="0"/>
        <w:jc w:val="both"/>
        <w:rPr>
          <w:rStyle w:val="akapitustep1"/>
          <w:rFonts w:ascii="Tahoma" w:hAnsi="Tahoma" w:cs="Tahoma"/>
          <w:bCs/>
          <w:color w:val="000000" w:themeColor="text1"/>
          <w:lang w:val="kk-KZ"/>
        </w:rPr>
      </w:pPr>
      <w:r w:rsidRPr="00044A73">
        <w:rPr>
          <w:rStyle w:val="akapitustep1"/>
          <w:rFonts w:ascii="Tahoma" w:hAnsi="Tahoma"/>
          <w:color w:val="000000" w:themeColor="text1"/>
          <w:lang w:val="kk-KZ"/>
        </w:rPr>
        <w:t>Тұтқынға алынған азаматтың төменде аталғандар бойынша құқықтары бар:</w:t>
      </w:r>
    </w:p>
    <w:p w:rsidR="002338FD" w:rsidRPr="00044A73" w:rsidRDefault="002338FD" w:rsidP="00FF5DA6">
      <w:pPr>
        <w:pStyle w:val="Akapitzlist"/>
        <w:spacing w:after="0" w:line="240" w:lineRule="auto"/>
        <w:ind w:left="426" w:hanging="426"/>
        <w:contextualSpacing w:val="0"/>
        <w:jc w:val="both"/>
        <w:rPr>
          <w:rStyle w:val="akapitustep1"/>
          <w:rFonts w:ascii="Tahoma" w:hAnsi="Tahoma" w:cs="Tahoma"/>
          <w:bCs/>
          <w:color w:val="000000" w:themeColor="text1"/>
        </w:rPr>
      </w:pP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rPr>
        <w:t>Тұтқындалу</w:t>
      </w:r>
      <w:r w:rsidRPr="00044A73">
        <w:rPr>
          <w:rFonts w:ascii="Tahoma" w:hAnsi="Tahoma"/>
          <w:color w:val="000000" w:themeColor="text1"/>
          <w:sz w:val="18"/>
          <w:lang w:val="kk-KZ"/>
        </w:rPr>
        <w:t xml:space="preserve"> </w:t>
      </w:r>
      <w:r w:rsidRPr="00044A73">
        <w:rPr>
          <w:rFonts w:ascii="Tahoma" w:hAnsi="Tahoma"/>
          <w:color w:val="000000" w:themeColor="text1"/>
        </w:rPr>
        <w:t>себептері бойынша ақпарат алу және хабар беру құқығы (244</w:t>
      </w:r>
      <w:r w:rsidRPr="00044A73">
        <w:rPr>
          <w:rFonts w:ascii="Tahoma" w:hAnsi="Tahoma"/>
          <w:color w:val="000000" w:themeColor="text1"/>
          <w:lang w:val="kk-KZ"/>
        </w:rPr>
        <w:t xml:space="preserve"> </w:t>
      </w:r>
      <w:r w:rsidRPr="00044A73">
        <w:rPr>
          <w:rFonts w:ascii="Tahoma" w:hAnsi="Tahoma"/>
          <w:color w:val="000000" w:themeColor="text1"/>
        </w:rPr>
        <w:t>-</w:t>
      </w:r>
      <w:r w:rsidRPr="00044A73">
        <w:rPr>
          <w:rFonts w:ascii="Tahoma" w:hAnsi="Tahoma"/>
          <w:color w:val="000000" w:themeColor="text1"/>
          <w:lang w:val="kk-KZ"/>
        </w:rPr>
        <w:t xml:space="preserve"> </w:t>
      </w:r>
      <w:r w:rsidRPr="00044A73">
        <w:rPr>
          <w:rFonts w:ascii="Tahoma" w:hAnsi="Tahoma"/>
          <w:color w:val="000000" w:themeColor="text1"/>
        </w:rPr>
        <w:t>бап, § 2)</w:t>
      </w:r>
      <w:r w:rsidRPr="00044A73">
        <w:rPr>
          <w:rStyle w:val="Odwoanieprzypisudolnego"/>
          <w:rFonts w:ascii="Tahoma" w:hAnsi="Tahoma"/>
          <w:b/>
          <w:color w:val="000000" w:themeColor="text1"/>
        </w:rPr>
        <w:t xml:space="preserve"> </w:t>
      </w:r>
      <w:r w:rsidRPr="00044A73">
        <w:rPr>
          <w:rStyle w:val="Odwoanieprzypisudolnego"/>
          <w:rFonts w:ascii="Tahoma" w:hAnsi="Tahoma"/>
          <w:b/>
          <w:color w:val="000000" w:themeColor="text1"/>
        </w:rPr>
        <w:footnoteRef/>
      </w:r>
      <w:r w:rsidRPr="00044A73">
        <w:rPr>
          <w:rFonts w:ascii="Tahoma" w:hAnsi="Tahoma"/>
          <w:color w:val="000000" w:themeColor="text1"/>
        </w:rPr>
        <w:t>.</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Іс бойынша жауап беру немесе бас тарту құқығы (244 – бап, § 3).</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Қорғаушымен шұғыл қарым-қатынасқа шығу және онымен тікелей байланысқа түсу; арнайы жағдайлармен негізделген ерекше жағдайларда, лауазымды тұлға хабарласу кезінде бірге болу қажеттілігін көрсете алады (245 –бап § 1).</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 xml:space="preserve">Егер </w:t>
      </w:r>
      <w:r w:rsidRPr="00044A73">
        <w:rPr>
          <w:rStyle w:val="akapitustep1"/>
          <w:rFonts w:ascii="Tahoma" w:hAnsi="Tahoma"/>
          <w:color w:val="000000" w:themeColor="text1"/>
          <w:lang w:val="kk-KZ"/>
        </w:rPr>
        <w:t xml:space="preserve">тұтқынға алынған адам поляк тілін білмесе, аудармашының тегін көмегімен пайдалану құқығы </w:t>
      </w:r>
      <w:r w:rsidRPr="00044A73">
        <w:rPr>
          <w:rFonts w:ascii="Tahoma" w:hAnsi="Tahoma"/>
          <w:color w:val="000000" w:themeColor="text1"/>
          <w:lang w:val="kk-KZ"/>
        </w:rPr>
        <w:t xml:space="preserve"> (72 – бап, § 1).</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Тұтқынға алыну жазбасының көшірмесін алу құқығы (244 – бап, § 3).</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Жақын туыстарына</w:t>
      </w:r>
      <w:r w:rsidRPr="00044A73">
        <w:rPr>
          <w:rStyle w:val="Odwoanieprzypisudolnego"/>
          <w:rFonts w:ascii="Tahoma" w:hAnsi="Tahoma"/>
          <w:b/>
          <w:color w:val="000000" w:themeColor="text1"/>
          <w:lang w:val="kk-KZ"/>
        </w:rPr>
        <w:t>2</w:t>
      </w:r>
      <w:r w:rsidRPr="00044A73">
        <w:rPr>
          <w:rFonts w:ascii="Tahoma" w:hAnsi="Tahoma"/>
          <w:color w:val="000000" w:themeColor="text1"/>
          <w:lang w:val="kk-KZ"/>
        </w:rPr>
        <w:t>, жұмыс берушісіне, мектепке, университетке, тұтқынға алушы компаниясының басқарушысына немесе тұтқынға жауапты компанияға тез арада ескертуге құқығы бар (245 – бап, § 2, 261 – бап, § 1 және 3).</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
          <w:color w:val="000000" w:themeColor="text1"/>
          <w:lang w:val="kk-KZ"/>
        </w:rPr>
      </w:pPr>
      <w:r w:rsidRPr="00044A73">
        <w:rPr>
          <w:rFonts w:ascii="Tahoma" w:hAnsi="Tahoma"/>
          <w:color w:val="000000" w:themeColor="text1"/>
          <w:lang w:val="kk-KZ"/>
        </w:rPr>
        <w:t>Шетел адамы қай елдің азаматы болса, сол елдің консулдық өкілдігімен немесе дипломатиялық өкілдігімен хабарласу құқығы. Егер тұтқынға алынған адамда ешқандай азаматтық болмаса, ол тұрақты түрде тұратын мемлекеттің өкілдігімен байланысуға құқығы бар. (612 – бап, § 2). Егер тұтқынға алынушы азаматы болып келетін мемлекет пен Польша арасында консулдық келісім болған жағдайда, құқықты консулдық өкілдігі немесе дипломатиялық өкілдігі оның сұрауынсыз да тұтқын туралы хабарландырады</w:t>
      </w:r>
      <w:r w:rsidRPr="00044A73">
        <w:rPr>
          <w:rStyle w:val="Odwoanieprzypisudolnego"/>
          <w:rFonts w:ascii="Tahoma" w:hAnsi="Tahoma"/>
          <w:b/>
          <w:color w:val="000000" w:themeColor="text1"/>
          <w:lang w:val="kk-KZ"/>
        </w:rPr>
        <w:t>3</w:t>
      </w:r>
      <w:r w:rsidRPr="00044A73">
        <w:rPr>
          <w:rFonts w:ascii="Tahoma" w:hAnsi="Tahoma"/>
          <w:b/>
          <w:color w:val="000000" w:themeColor="text1"/>
          <w:lang w:val="kk-KZ"/>
        </w:rPr>
        <w:t>.</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olor w:val="000000" w:themeColor="text1"/>
          <w:lang w:val="kk-KZ"/>
        </w:rPr>
      </w:pPr>
      <w:r w:rsidRPr="00044A73">
        <w:rPr>
          <w:rFonts w:ascii="Tahoma" w:hAnsi="Tahoma"/>
          <w:color w:val="000000" w:themeColor="text1"/>
          <w:lang w:val="kk-KZ"/>
        </w:rPr>
        <w:t>Тұтқынға алыну күнінен 7 күн ішінде тұтқынға қатысты сотқа шағым беру құқығы. Арызында тұтқынға алынушы тұтқынға алынудың заңдылығын, орындылығын және құқық талаптарына сәйкестілігін қарастыруды талап ете алады ( 246 – бап, § 1).</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 xml:space="preserve"> Тұтқынға алыну күнінен 7 күн ішінде тұтқынға алынудың жүргізілу тәсіліне қатысты прокурорға шағым беру құқығы. (Шекаралық күзет бойынша 12 қазан 1990 жылғы Акт хатының 11-бабы, 2а параграфы, (Заң журналында № 116, 675 тармақ, енгізілген өзгертулермен).</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lang w:val="kk-KZ"/>
        </w:rPr>
      </w:pPr>
      <w:r w:rsidRPr="00044A73">
        <w:rPr>
          <w:rFonts w:ascii="Tahoma" w:hAnsi="Tahoma"/>
          <w:color w:val="000000" w:themeColor="text1"/>
          <w:lang w:val="kk-KZ"/>
        </w:rPr>
        <w:t>Егер тұтқынға алыну себептері болмаса, немесе егер тұтқынға алынушы тұтқынға алынудан кейін 48 сағат ішінде қорғалатын орталыққа немесе  қамауға алынған шетелдіктердің пайдасы бойынша ауысу бұйрығын алу бойынша сотқа ауыстырылмаған жағдайда шұғыл босату құқығы. Сотқа ауыстырылған жағдайда, тұтқынға алынушы, егер ауыстырылу кезіндегі 24 сағат ішінде, ол қорғалатын орталыққа немесе  қамауға алынған шетелдіктердің пайдасы бойынша ауысу бұйрығын алғанда, босатылады (шетелдіктерге арналған 12 желтоқсан 2013 жылғы Акттің 394-бабы, 5 параграфы (Заңдар актілері, 1650 тармақ, енгізілген өзгертулермен).</w:t>
      </w:r>
    </w:p>
    <w:p w:rsidR="002338FD" w:rsidRPr="00044A73" w:rsidRDefault="002338FD" w:rsidP="00FF5DA6">
      <w:pPr>
        <w:pStyle w:val="Akapitzlist"/>
        <w:numPr>
          <w:ilvl w:val="0"/>
          <w:numId w:val="13"/>
        </w:numPr>
        <w:autoSpaceDE w:val="0"/>
        <w:autoSpaceDN w:val="0"/>
        <w:adjustRightInd w:val="0"/>
        <w:spacing w:after="0" w:line="240" w:lineRule="auto"/>
        <w:ind w:left="426" w:hanging="426"/>
        <w:jc w:val="both"/>
        <w:rPr>
          <w:rFonts w:ascii="Tahoma" w:hAnsi="Tahoma" w:cs="Tahoma"/>
          <w:bCs/>
          <w:color w:val="000000" w:themeColor="text1"/>
        </w:rPr>
      </w:pPr>
      <w:r w:rsidRPr="00044A73">
        <w:rPr>
          <w:rFonts w:ascii="Tahoma" w:hAnsi="Tahoma"/>
          <w:color w:val="000000" w:themeColor="text1"/>
          <w:lang w:val="kk-KZ"/>
        </w:rPr>
        <w:t>Қажетті медициналық көмекті алу</w:t>
      </w:r>
      <w:r w:rsidRPr="00044A73">
        <w:rPr>
          <w:rFonts w:ascii="Tahoma" w:hAnsi="Tahoma"/>
          <w:color w:val="000000" w:themeColor="text1"/>
        </w:rPr>
        <w:t>.</w:t>
      </w:r>
      <w:r w:rsidRPr="00044A73">
        <w:rPr>
          <w:rFonts w:ascii="Tahoma" w:hAnsi="Tahoma"/>
          <w:color w:val="000000" w:themeColor="text1"/>
          <w:lang w:val="kk-KZ"/>
        </w:rPr>
        <w:t xml:space="preserve"> </w:t>
      </w:r>
    </w:p>
    <w:p w:rsidR="002338FD" w:rsidRPr="00044A73" w:rsidRDefault="002338FD" w:rsidP="00FF5DA6">
      <w:pPr>
        <w:autoSpaceDE w:val="0"/>
        <w:autoSpaceDN w:val="0"/>
        <w:adjustRightInd w:val="0"/>
        <w:spacing w:after="0" w:line="240" w:lineRule="auto"/>
        <w:ind w:left="426" w:hanging="426"/>
        <w:rPr>
          <w:rFonts w:ascii="Tahoma" w:hAnsi="Tahoma" w:cs="Tahoma"/>
          <w:bCs/>
          <w:color w:val="000000" w:themeColor="text1"/>
        </w:rPr>
      </w:pPr>
    </w:p>
    <w:p w:rsidR="002338FD" w:rsidRPr="00044A73" w:rsidRDefault="002338FD" w:rsidP="00FF5DA6">
      <w:pPr>
        <w:autoSpaceDE w:val="0"/>
        <w:autoSpaceDN w:val="0"/>
        <w:adjustRightInd w:val="0"/>
        <w:spacing w:after="0" w:line="240" w:lineRule="auto"/>
        <w:ind w:left="426" w:hanging="426"/>
        <w:rPr>
          <w:rFonts w:ascii="Tahoma" w:hAnsi="Tahoma" w:cs="Tahoma"/>
          <w:bCs/>
          <w:color w:val="000000" w:themeColor="text1"/>
        </w:rPr>
      </w:pPr>
    </w:p>
    <w:p w:rsidR="002338FD" w:rsidRPr="00044A73" w:rsidRDefault="002338FD" w:rsidP="00FF5DA6">
      <w:pPr>
        <w:autoSpaceDE w:val="0"/>
        <w:autoSpaceDN w:val="0"/>
        <w:adjustRightInd w:val="0"/>
        <w:spacing w:after="0" w:line="240" w:lineRule="auto"/>
        <w:ind w:left="426" w:hanging="426"/>
        <w:rPr>
          <w:rFonts w:ascii="Tahoma" w:hAnsi="Tahoma"/>
          <w:b/>
          <w:color w:val="000000" w:themeColor="text1"/>
        </w:rPr>
      </w:pPr>
      <w:r w:rsidRPr="00044A73">
        <w:rPr>
          <w:rFonts w:ascii="Tahoma" w:hAnsi="Tahoma"/>
          <w:b/>
          <w:color w:val="000000" w:themeColor="text1"/>
          <w:lang w:val="kk-KZ"/>
        </w:rPr>
        <w:t xml:space="preserve">Мен нұсқаулықтың алынғандығын растаймын </w:t>
      </w:r>
      <w:r w:rsidRPr="00044A73">
        <w:rPr>
          <w:rFonts w:ascii="Tahoma" w:hAnsi="Tahoma"/>
          <w:b/>
          <w:color w:val="000000" w:themeColor="text1"/>
        </w:rPr>
        <w:t>(</w:t>
      </w:r>
      <w:r w:rsidRPr="00044A73">
        <w:rPr>
          <w:rFonts w:ascii="Tahoma" w:hAnsi="Tahoma"/>
          <w:b/>
          <w:color w:val="000000" w:themeColor="text1"/>
          <w:lang w:val="kk-KZ"/>
        </w:rPr>
        <w:t>күні</w:t>
      </w:r>
      <w:r w:rsidRPr="00044A73">
        <w:rPr>
          <w:rFonts w:ascii="Tahoma" w:hAnsi="Tahoma"/>
          <w:b/>
          <w:color w:val="000000" w:themeColor="text1"/>
        </w:rPr>
        <w:t xml:space="preserve">, </w:t>
      </w:r>
      <w:r w:rsidRPr="00044A73">
        <w:rPr>
          <w:rFonts w:ascii="Tahoma" w:hAnsi="Tahoma"/>
          <w:b/>
          <w:color w:val="000000" w:themeColor="text1"/>
          <w:lang w:val="kk-KZ"/>
        </w:rPr>
        <w:t>қолы</w:t>
      </w:r>
      <w:r w:rsidRPr="00044A73">
        <w:rPr>
          <w:rFonts w:ascii="Tahoma" w:hAnsi="Tahoma"/>
          <w:b/>
          <w:color w:val="000000" w:themeColor="text1"/>
        </w:rPr>
        <w:t>) ...............................</w:t>
      </w:r>
    </w:p>
    <w:p w:rsidR="002338FD" w:rsidRPr="00044A73" w:rsidRDefault="002338FD" w:rsidP="007D57CA">
      <w:pPr>
        <w:autoSpaceDE w:val="0"/>
        <w:autoSpaceDN w:val="0"/>
        <w:adjustRightInd w:val="0"/>
        <w:spacing w:after="0" w:line="240" w:lineRule="auto"/>
        <w:jc w:val="both"/>
        <w:rPr>
          <w:rFonts w:ascii="Tahoma" w:hAnsi="Tahoma"/>
          <w:color w:val="000000" w:themeColor="text1"/>
        </w:rPr>
      </w:pPr>
    </w:p>
    <w:p w:rsidR="002338FD" w:rsidRPr="00044A73" w:rsidRDefault="002338FD" w:rsidP="007D57CA">
      <w:pPr>
        <w:autoSpaceDE w:val="0"/>
        <w:autoSpaceDN w:val="0"/>
        <w:adjustRightInd w:val="0"/>
        <w:spacing w:after="0" w:line="240" w:lineRule="auto"/>
        <w:jc w:val="both"/>
        <w:rPr>
          <w:rFonts w:ascii="Tahoma" w:hAnsi="Tahoma" w:cs="Tahoma"/>
          <w:color w:val="000000" w:themeColor="text1"/>
          <w:lang w:eastAsia="pl-PL"/>
        </w:rPr>
      </w:pPr>
      <w:r w:rsidRPr="00044A73">
        <w:rPr>
          <w:rStyle w:val="Odwoanieprzypisudolnego"/>
          <w:rFonts w:ascii="Tahoma" w:hAnsi="Tahoma"/>
          <w:b/>
          <w:color w:val="000000" w:themeColor="text1"/>
        </w:rPr>
        <w:footnoteRef/>
      </w:r>
      <w:r w:rsidRPr="00044A73">
        <w:rPr>
          <w:rFonts w:ascii="Tahoma" w:hAnsi="Tahoma"/>
          <w:color w:val="000000" w:themeColor="text1"/>
        </w:rPr>
        <w:t xml:space="preserve"> </w:t>
      </w:r>
      <w:r w:rsidRPr="00044A73">
        <w:rPr>
          <w:rFonts w:ascii="Tahoma" w:hAnsi="Tahoma"/>
          <w:color w:val="000000" w:themeColor="text1"/>
          <w:lang w:val="ru-RU"/>
        </w:rPr>
        <w:t>Б</w:t>
      </w:r>
      <w:r w:rsidRPr="00044A73">
        <w:rPr>
          <w:rFonts w:ascii="Tahoma" w:hAnsi="Tahoma"/>
          <w:color w:val="000000" w:themeColor="text1"/>
          <w:lang w:val="kk-KZ"/>
        </w:rPr>
        <w:t>асқа заңды негіз болмаған жағдайда, жақша ішіндегі ережелер Қылмыстық істер жүргізу кодексінің, 6 маусым 1997 жылғы Акттің маңызды баптарын көрсетеді (Заң журналында № 89, 555 тармақ, енгізілген өзгертулермен).</w:t>
      </w:r>
    </w:p>
    <w:p w:rsidR="002338FD" w:rsidRPr="00044A73" w:rsidRDefault="002338FD" w:rsidP="007D57CA">
      <w:pPr>
        <w:autoSpaceDE w:val="0"/>
        <w:autoSpaceDN w:val="0"/>
        <w:adjustRightInd w:val="0"/>
        <w:spacing w:after="0" w:line="240" w:lineRule="auto"/>
        <w:jc w:val="both"/>
        <w:rPr>
          <w:color w:val="000000" w:themeColor="text1"/>
        </w:rPr>
      </w:pPr>
    </w:p>
    <w:p w:rsidR="002338FD" w:rsidRPr="00044A73" w:rsidRDefault="002338FD" w:rsidP="007D57CA">
      <w:pPr>
        <w:pStyle w:val="Default"/>
        <w:jc w:val="both"/>
        <w:rPr>
          <w:rFonts w:ascii="Tahoma" w:hAnsi="Tahoma" w:cs="Tahoma"/>
          <w:bCs/>
          <w:color w:val="000000" w:themeColor="text1"/>
          <w:sz w:val="22"/>
          <w:szCs w:val="22"/>
          <w:lang w:val="kk-KZ"/>
        </w:rPr>
      </w:pPr>
      <w:r w:rsidRPr="00044A73">
        <w:rPr>
          <w:rStyle w:val="Odwoanieprzypisudolnego"/>
          <w:rFonts w:ascii="Tahoma" w:hAnsi="Tahoma"/>
          <w:b/>
          <w:color w:val="000000" w:themeColor="text1"/>
          <w:sz w:val="22"/>
          <w:lang w:val="kk-KZ"/>
        </w:rPr>
        <w:t>2</w:t>
      </w:r>
      <w:r w:rsidRPr="00044A73">
        <w:rPr>
          <w:rFonts w:ascii="Tahoma" w:hAnsi="Tahoma"/>
          <w:color w:val="000000" w:themeColor="text1"/>
          <w:sz w:val="22"/>
          <w:lang w:val="ru-RU"/>
        </w:rPr>
        <w:t xml:space="preserve"> </w:t>
      </w:r>
      <w:r w:rsidRPr="00044A73">
        <w:rPr>
          <w:rFonts w:ascii="Tahoma" w:hAnsi="Tahoma"/>
          <w:color w:val="000000" w:themeColor="text1"/>
          <w:sz w:val="22"/>
          <w:lang w:val="kk-KZ"/>
        </w:rPr>
        <w:t>Сонымен қатар, бұл тұтқындалушымен тағайындалған адам да бола алады. Жақын туыстарына жары, ата-аналары, ұрпақтары, туған аға-інілері мен әпке-сіңлілері, тікелей желілі туысы, асырап алу бойынша тустығы бар адам және оның жары,  және бірге тұратын адамы кіреді (6 маусым 1997 жылғы Акттің 115-бабы, § 11- Қылмыстық кодекс (Заң журналында № 88, 553 тармақ, енгізілген өзгертулермен).</w:t>
      </w:r>
    </w:p>
    <w:p w:rsidR="002338FD" w:rsidRPr="00044A73" w:rsidRDefault="002338FD" w:rsidP="007D57CA">
      <w:pPr>
        <w:pStyle w:val="Default"/>
        <w:jc w:val="both"/>
        <w:rPr>
          <w:color w:val="000000" w:themeColor="text1"/>
          <w:lang w:val="kk-KZ"/>
        </w:rPr>
      </w:pPr>
    </w:p>
    <w:p w:rsidR="002338FD" w:rsidRPr="00044A73" w:rsidRDefault="002338FD" w:rsidP="00DD34D0">
      <w:pPr>
        <w:autoSpaceDE w:val="0"/>
        <w:autoSpaceDN w:val="0"/>
        <w:adjustRightInd w:val="0"/>
        <w:spacing w:after="0" w:line="240" w:lineRule="auto"/>
        <w:rPr>
          <w:rFonts w:ascii="Tahoma" w:hAnsi="Tahoma"/>
          <w:color w:val="000000" w:themeColor="text1"/>
          <w:lang w:val="kk-KZ"/>
        </w:rPr>
      </w:pPr>
      <w:r w:rsidRPr="00044A73">
        <w:rPr>
          <w:rStyle w:val="Odwoanieprzypisudolnego"/>
          <w:rFonts w:ascii="Tahoma" w:hAnsi="Tahoma"/>
          <w:b/>
          <w:color w:val="000000" w:themeColor="text1"/>
          <w:lang w:val="kk-KZ"/>
        </w:rPr>
        <w:t>3</w:t>
      </w:r>
      <w:r w:rsidRPr="00044A73">
        <w:rPr>
          <w:rFonts w:ascii="Tahoma" w:hAnsi="Tahoma"/>
          <w:color w:val="000000" w:themeColor="text1"/>
          <w:lang w:val="kk-KZ"/>
        </w:rPr>
        <w:t xml:space="preserve"> Ауғанстан, Алжир, Австралия, Австрия, Беларусь, Бельгия, Босния және Герцеговина, Болгария, Қытай, Хорватия, Кипр, Чехия, Черногория, Эстония, Финляндия, Франция, Греция, Камбоджа, Канада, Қазақстан, Қырғызстан, Солтүстік Корея, Куба, Лаос, Латвия, Литва, Македония, Мексика, Молдова, Монғолия, Жаңа Зеландия, Ресей, Румыния, Сербия, Словакия, Словения, Америка Құрама Штаттары, Сирия, Тунис, Түркия, Украина, Өзбекстан, Венгрия, Біріккен Корольдік және Вьетнам елдерінің азаматтарына қолданылады.</w:t>
      </w:r>
      <w:bookmarkEnd w:id="0"/>
    </w:p>
    <w:sectPr w:rsidR="002338FD" w:rsidRPr="00044A73" w:rsidSect="008C31A2">
      <w:pgSz w:w="11906" w:h="16838"/>
      <w:pgMar w:top="5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CD" w:rsidRDefault="003168CD" w:rsidP="00735726">
      <w:pPr>
        <w:spacing w:after="0" w:line="240" w:lineRule="auto"/>
      </w:pPr>
      <w:r>
        <w:separator/>
      </w:r>
    </w:p>
  </w:endnote>
  <w:endnote w:type="continuationSeparator" w:id="0">
    <w:p w:rsidR="003168CD" w:rsidRDefault="003168CD" w:rsidP="0073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CD" w:rsidRDefault="003168CD" w:rsidP="00735726">
      <w:pPr>
        <w:spacing w:after="0" w:line="240" w:lineRule="auto"/>
      </w:pPr>
      <w:r>
        <w:separator/>
      </w:r>
    </w:p>
  </w:footnote>
  <w:footnote w:type="continuationSeparator" w:id="0">
    <w:p w:rsidR="003168CD" w:rsidRDefault="003168CD" w:rsidP="00735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2FC0"/>
    <w:multiLevelType w:val="hybridMultilevel"/>
    <w:tmpl w:val="D8E44F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FF768B"/>
    <w:multiLevelType w:val="hybridMultilevel"/>
    <w:tmpl w:val="5574B51E"/>
    <w:lvl w:ilvl="0" w:tplc="0FF20746">
      <w:start w:val="1"/>
      <w:numFmt w:val="decimal"/>
      <w:lvlText w:val="%1)"/>
      <w:lvlJc w:val="left"/>
      <w:pPr>
        <w:ind w:left="502" w:hanging="360"/>
      </w:pPr>
      <w:rPr>
        <w:rFonts w:cs="Times New Roman" w:hint="default"/>
      </w:rPr>
    </w:lvl>
    <w:lvl w:ilvl="1" w:tplc="E83E29A6">
      <w:start w:val="1"/>
      <w:numFmt w:val="lowerLetter"/>
      <w:lvlText w:val="%2)"/>
      <w:lvlJc w:val="left"/>
      <w:pPr>
        <w:ind w:left="1222" w:hanging="360"/>
      </w:pPr>
      <w:rPr>
        <w:rFonts w:cs="Times New Roman" w:hint="default"/>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nsid w:val="0C025F28"/>
    <w:multiLevelType w:val="hybridMultilevel"/>
    <w:tmpl w:val="6528411A"/>
    <w:lvl w:ilvl="0" w:tplc="0415000F">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F073C4B"/>
    <w:multiLevelType w:val="hybridMultilevel"/>
    <w:tmpl w:val="B5B69942"/>
    <w:lvl w:ilvl="0" w:tplc="0FF20746">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
    <w:nsid w:val="178F7411"/>
    <w:multiLevelType w:val="hybridMultilevel"/>
    <w:tmpl w:val="FBA47A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2FD37D07"/>
    <w:multiLevelType w:val="hybridMultilevel"/>
    <w:tmpl w:val="A5E01670"/>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30920C21"/>
    <w:multiLevelType w:val="hybridMultilevel"/>
    <w:tmpl w:val="6C36C1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D1F0E08"/>
    <w:multiLevelType w:val="hybridMultilevel"/>
    <w:tmpl w:val="5F664E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F695E9E"/>
    <w:multiLevelType w:val="hybridMultilevel"/>
    <w:tmpl w:val="FF142C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DC80B94"/>
    <w:multiLevelType w:val="hybridMultilevel"/>
    <w:tmpl w:val="53009C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14B494E"/>
    <w:multiLevelType w:val="hybridMultilevel"/>
    <w:tmpl w:val="E9EC8A96"/>
    <w:lvl w:ilvl="0" w:tplc="0415000F">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1">
    <w:nsid w:val="63D06B17"/>
    <w:multiLevelType w:val="hybridMultilevel"/>
    <w:tmpl w:val="21D8E2B0"/>
    <w:lvl w:ilvl="0" w:tplc="0FF20746">
      <w:start w:val="1"/>
      <w:numFmt w:val="decimal"/>
      <w:lvlText w:val="%1)"/>
      <w:lvlJc w:val="left"/>
      <w:pPr>
        <w:ind w:left="644"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2">
    <w:nsid w:val="79E235A3"/>
    <w:multiLevelType w:val="hybridMultilevel"/>
    <w:tmpl w:val="6C36C17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
  </w:num>
  <w:num w:numId="4">
    <w:abstractNumId w:val="9"/>
  </w:num>
  <w:num w:numId="5">
    <w:abstractNumId w:val="11"/>
  </w:num>
  <w:num w:numId="6">
    <w:abstractNumId w:val="3"/>
  </w:num>
  <w:num w:numId="7">
    <w:abstractNumId w:val="7"/>
  </w:num>
  <w:num w:numId="8">
    <w:abstractNumId w:val="4"/>
  </w:num>
  <w:num w:numId="9">
    <w:abstractNumId w:val="8"/>
  </w:num>
  <w:num w:numId="10">
    <w:abstractNumId w:val="12"/>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E"/>
    <w:rsid w:val="00002D9A"/>
    <w:rsid w:val="0000713C"/>
    <w:rsid w:val="00021CFD"/>
    <w:rsid w:val="00033C29"/>
    <w:rsid w:val="0004363B"/>
    <w:rsid w:val="00044A73"/>
    <w:rsid w:val="00070B8A"/>
    <w:rsid w:val="000763E0"/>
    <w:rsid w:val="00081833"/>
    <w:rsid w:val="00085AC1"/>
    <w:rsid w:val="000931A9"/>
    <w:rsid w:val="00095774"/>
    <w:rsid w:val="00097C40"/>
    <w:rsid w:val="000A2C2D"/>
    <w:rsid w:val="000B3EA4"/>
    <w:rsid w:val="000C2338"/>
    <w:rsid w:val="000D6ED6"/>
    <w:rsid w:val="000D6F4C"/>
    <w:rsid w:val="000D78A9"/>
    <w:rsid w:val="000F40D5"/>
    <w:rsid w:val="00100235"/>
    <w:rsid w:val="00113EDE"/>
    <w:rsid w:val="00143C01"/>
    <w:rsid w:val="00144370"/>
    <w:rsid w:val="00160074"/>
    <w:rsid w:val="0018001F"/>
    <w:rsid w:val="00184349"/>
    <w:rsid w:val="00191CC4"/>
    <w:rsid w:val="00192F8A"/>
    <w:rsid w:val="001948CC"/>
    <w:rsid w:val="001B5CA2"/>
    <w:rsid w:val="001C23C4"/>
    <w:rsid w:val="001D54CF"/>
    <w:rsid w:val="00200A91"/>
    <w:rsid w:val="00205D70"/>
    <w:rsid w:val="00230592"/>
    <w:rsid w:val="002338FD"/>
    <w:rsid w:val="00240274"/>
    <w:rsid w:val="00240B2C"/>
    <w:rsid w:val="002707B4"/>
    <w:rsid w:val="00270A93"/>
    <w:rsid w:val="00280FB1"/>
    <w:rsid w:val="002857D4"/>
    <w:rsid w:val="002A6BDE"/>
    <w:rsid w:val="002A78D0"/>
    <w:rsid w:val="002B513D"/>
    <w:rsid w:val="002B716F"/>
    <w:rsid w:val="002D6AD7"/>
    <w:rsid w:val="00304948"/>
    <w:rsid w:val="003168CD"/>
    <w:rsid w:val="0032268F"/>
    <w:rsid w:val="003235ED"/>
    <w:rsid w:val="00327C0C"/>
    <w:rsid w:val="00331113"/>
    <w:rsid w:val="003320AD"/>
    <w:rsid w:val="0034046F"/>
    <w:rsid w:val="00351270"/>
    <w:rsid w:val="00372F2F"/>
    <w:rsid w:val="00376E88"/>
    <w:rsid w:val="00380177"/>
    <w:rsid w:val="00382A50"/>
    <w:rsid w:val="00387B49"/>
    <w:rsid w:val="003906C2"/>
    <w:rsid w:val="003B5C14"/>
    <w:rsid w:val="003C5367"/>
    <w:rsid w:val="003F6C3E"/>
    <w:rsid w:val="00407855"/>
    <w:rsid w:val="00410878"/>
    <w:rsid w:val="004166BC"/>
    <w:rsid w:val="00463765"/>
    <w:rsid w:val="00476D9F"/>
    <w:rsid w:val="00483B8E"/>
    <w:rsid w:val="004A057B"/>
    <w:rsid w:val="004B070A"/>
    <w:rsid w:val="004E4871"/>
    <w:rsid w:val="004F2C88"/>
    <w:rsid w:val="00503377"/>
    <w:rsid w:val="005263C9"/>
    <w:rsid w:val="00527232"/>
    <w:rsid w:val="005400C8"/>
    <w:rsid w:val="00550A4F"/>
    <w:rsid w:val="00566CD4"/>
    <w:rsid w:val="005738F2"/>
    <w:rsid w:val="0059092D"/>
    <w:rsid w:val="005960FB"/>
    <w:rsid w:val="005B1F74"/>
    <w:rsid w:val="005B3285"/>
    <w:rsid w:val="005B510C"/>
    <w:rsid w:val="005D080B"/>
    <w:rsid w:val="005D3B5F"/>
    <w:rsid w:val="006059B0"/>
    <w:rsid w:val="006134D9"/>
    <w:rsid w:val="00637772"/>
    <w:rsid w:val="006A5413"/>
    <w:rsid w:val="006B5C9E"/>
    <w:rsid w:val="006B7276"/>
    <w:rsid w:val="007003D5"/>
    <w:rsid w:val="0070485C"/>
    <w:rsid w:val="007139F1"/>
    <w:rsid w:val="00714395"/>
    <w:rsid w:val="00722227"/>
    <w:rsid w:val="00725F19"/>
    <w:rsid w:val="00733C4C"/>
    <w:rsid w:val="00735726"/>
    <w:rsid w:val="007B73C4"/>
    <w:rsid w:val="007C2851"/>
    <w:rsid w:val="007D0555"/>
    <w:rsid w:val="007D07B5"/>
    <w:rsid w:val="007D57CA"/>
    <w:rsid w:val="007E5E06"/>
    <w:rsid w:val="007E6AC8"/>
    <w:rsid w:val="007F00EC"/>
    <w:rsid w:val="007F220F"/>
    <w:rsid w:val="007F4B41"/>
    <w:rsid w:val="007F7548"/>
    <w:rsid w:val="008065DE"/>
    <w:rsid w:val="00833F89"/>
    <w:rsid w:val="00836C54"/>
    <w:rsid w:val="008502AE"/>
    <w:rsid w:val="0088128D"/>
    <w:rsid w:val="00884FC9"/>
    <w:rsid w:val="008861B1"/>
    <w:rsid w:val="008A1E06"/>
    <w:rsid w:val="008A2659"/>
    <w:rsid w:val="008C31A2"/>
    <w:rsid w:val="008E50D3"/>
    <w:rsid w:val="00903AC2"/>
    <w:rsid w:val="00923B22"/>
    <w:rsid w:val="009304F5"/>
    <w:rsid w:val="00940410"/>
    <w:rsid w:val="00954A3A"/>
    <w:rsid w:val="009602AF"/>
    <w:rsid w:val="00974724"/>
    <w:rsid w:val="00976FD9"/>
    <w:rsid w:val="009816B6"/>
    <w:rsid w:val="009960CF"/>
    <w:rsid w:val="009A0622"/>
    <w:rsid w:val="009A11AC"/>
    <w:rsid w:val="009A26BC"/>
    <w:rsid w:val="009A336B"/>
    <w:rsid w:val="009A69CF"/>
    <w:rsid w:val="009B2650"/>
    <w:rsid w:val="009C01BC"/>
    <w:rsid w:val="009C5280"/>
    <w:rsid w:val="009D63F3"/>
    <w:rsid w:val="00A220A5"/>
    <w:rsid w:val="00A23D34"/>
    <w:rsid w:val="00A2471E"/>
    <w:rsid w:val="00A54E4D"/>
    <w:rsid w:val="00A74C10"/>
    <w:rsid w:val="00A90891"/>
    <w:rsid w:val="00A94FE9"/>
    <w:rsid w:val="00AA64CB"/>
    <w:rsid w:val="00AA6BAB"/>
    <w:rsid w:val="00AA7309"/>
    <w:rsid w:val="00AB1459"/>
    <w:rsid w:val="00AB4BCF"/>
    <w:rsid w:val="00AD32D8"/>
    <w:rsid w:val="00AE15CA"/>
    <w:rsid w:val="00AE763D"/>
    <w:rsid w:val="00B15CA4"/>
    <w:rsid w:val="00B33E16"/>
    <w:rsid w:val="00B37B7D"/>
    <w:rsid w:val="00B37D67"/>
    <w:rsid w:val="00B44D18"/>
    <w:rsid w:val="00B605B8"/>
    <w:rsid w:val="00B64504"/>
    <w:rsid w:val="00B92F29"/>
    <w:rsid w:val="00B953D8"/>
    <w:rsid w:val="00BA04DA"/>
    <w:rsid w:val="00BA57A5"/>
    <w:rsid w:val="00BA5977"/>
    <w:rsid w:val="00BB34A5"/>
    <w:rsid w:val="00BE1A7D"/>
    <w:rsid w:val="00BF2D37"/>
    <w:rsid w:val="00BF6DA1"/>
    <w:rsid w:val="00C072CB"/>
    <w:rsid w:val="00C13565"/>
    <w:rsid w:val="00C26209"/>
    <w:rsid w:val="00C42701"/>
    <w:rsid w:val="00C44E27"/>
    <w:rsid w:val="00C65DA2"/>
    <w:rsid w:val="00C73938"/>
    <w:rsid w:val="00CA3CF4"/>
    <w:rsid w:val="00CA45AE"/>
    <w:rsid w:val="00CC532B"/>
    <w:rsid w:val="00CC6D96"/>
    <w:rsid w:val="00CD046E"/>
    <w:rsid w:val="00CE186B"/>
    <w:rsid w:val="00CE312F"/>
    <w:rsid w:val="00CE3835"/>
    <w:rsid w:val="00CE4DCC"/>
    <w:rsid w:val="00D17F56"/>
    <w:rsid w:val="00D42500"/>
    <w:rsid w:val="00D42FD7"/>
    <w:rsid w:val="00D45129"/>
    <w:rsid w:val="00D60502"/>
    <w:rsid w:val="00D751BE"/>
    <w:rsid w:val="00D86C57"/>
    <w:rsid w:val="00D945F4"/>
    <w:rsid w:val="00DA14F4"/>
    <w:rsid w:val="00DA4CA3"/>
    <w:rsid w:val="00DB0BD5"/>
    <w:rsid w:val="00DC540A"/>
    <w:rsid w:val="00DD34D0"/>
    <w:rsid w:val="00DE231A"/>
    <w:rsid w:val="00DE440A"/>
    <w:rsid w:val="00E02735"/>
    <w:rsid w:val="00E20DB4"/>
    <w:rsid w:val="00E31FF1"/>
    <w:rsid w:val="00E32AEA"/>
    <w:rsid w:val="00E402EE"/>
    <w:rsid w:val="00E43AF2"/>
    <w:rsid w:val="00E730EC"/>
    <w:rsid w:val="00E732B7"/>
    <w:rsid w:val="00E927D0"/>
    <w:rsid w:val="00EA3681"/>
    <w:rsid w:val="00EE4401"/>
    <w:rsid w:val="00EF0D9F"/>
    <w:rsid w:val="00EF10B3"/>
    <w:rsid w:val="00F03CC3"/>
    <w:rsid w:val="00F11A0A"/>
    <w:rsid w:val="00F21E5F"/>
    <w:rsid w:val="00F5298D"/>
    <w:rsid w:val="00F52A02"/>
    <w:rsid w:val="00F54401"/>
    <w:rsid w:val="00F601BB"/>
    <w:rsid w:val="00F654C7"/>
    <w:rsid w:val="00F85D67"/>
    <w:rsid w:val="00FC671A"/>
    <w:rsid w:val="00FE6518"/>
    <w:rsid w:val="00FF0B59"/>
    <w:rsid w:val="00FF5D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C2673-BC30-4FF8-BCC2-A8C86B3E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C9E"/>
    <w:pPr>
      <w:spacing w:after="200" w:line="276" w:lineRule="auto"/>
    </w:pPr>
    <w:rPr>
      <w:lang w:val="en-GB"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1">
    <w:name w:val="akapitustep1"/>
    <w:basedOn w:val="Domylnaczcionkaakapitu"/>
    <w:uiPriority w:val="99"/>
    <w:rsid w:val="00733C4C"/>
    <w:rPr>
      <w:rFonts w:cs="Times New Roman"/>
    </w:rPr>
  </w:style>
  <w:style w:type="character" w:customStyle="1" w:styleId="akapitdomyslny1">
    <w:name w:val="akapitdomyslny1"/>
    <w:basedOn w:val="Domylnaczcionkaakapitu"/>
    <w:uiPriority w:val="99"/>
    <w:rsid w:val="00733C4C"/>
    <w:rPr>
      <w:rFonts w:cs="Times New Roman"/>
    </w:rPr>
  </w:style>
  <w:style w:type="character" w:styleId="Hipercze">
    <w:name w:val="Hyperlink"/>
    <w:basedOn w:val="Domylnaczcionkaakapitu"/>
    <w:uiPriority w:val="99"/>
    <w:semiHidden/>
    <w:rsid w:val="00527232"/>
    <w:rPr>
      <w:rFonts w:cs="Times New Roman"/>
      <w:color w:val="0000FF"/>
      <w:u w:val="single"/>
    </w:rPr>
  </w:style>
  <w:style w:type="paragraph" w:styleId="Akapitzlist">
    <w:name w:val="List Paragraph"/>
    <w:basedOn w:val="Normalny"/>
    <w:uiPriority w:val="99"/>
    <w:qFormat/>
    <w:rsid w:val="005263C9"/>
    <w:pPr>
      <w:ind w:left="720"/>
      <w:contextualSpacing/>
    </w:pPr>
  </w:style>
  <w:style w:type="paragraph" w:styleId="Nagwek">
    <w:name w:val="header"/>
    <w:basedOn w:val="Normalny"/>
    <w:link w:val="NagwekZnak"/>
    <w:uiPriority w:val="99"/>
    <w:semiHidden/>
    <w:rsid w:val="00735726"/>
    <w:pPr>
      <w:tabs>
        <w:tab w:val="center" w:pos="4536"/>
        <w:tab w:val="right" w:pos="9072"/>
      </w:tabs>
    </w:pPr>
    <w:rPr>
      <w:lang w:val="en-US"/>
    </w:rPr>
  </w:style>
  <w:style w:type="character" w:customStyle="1" w:styleId="NagwekZnak">
    <w:name w:val="Nagłówek Znak"/>
    <w:basedOn w:val="Domylnaczcionkaakapitu"/>
    <w:link w:val="Nagwek"/>
    <w:uiPriority w:val="99"/>
    <w:semiHidden/>
    <w:locked/>
    <w:rsid w:val="00735726"/>
    <w:rPr>
      <w:rFonts w:cs="Times New Roman"/>
      <w:sz w:val="22"/>
      <w:lang w:eastAsia="en-GB"/>
    </w:rPr>
  </w:style>
  <w:style w:type="paragraph" w:styleId="Stopka">
    <w:name w:val="footer"/>
    <w:basedOn w:val="Normalny"/>
    <w:link w:val="StopkaZnak"/>
    <w:uiPriority w:val="99"/>
    <w:rsid w:val="00735726"/>
    <w:pPr>
      <w:tabs>
        <w:tab w:val="center" w:pos="4536"/>
        <w:tab w:val="right" w:pos="9072"/>
      </w:tabs>
    </w:pPr>
    <w:rPr>
      <w:lang w:val="en-US"/>
    </w:rPr>
  </w:style>
  <w:style w:type="character" w:customStyle="1" w:styleId="StopkaZnak">
    <w:name w:val="Stopka Znak"/>
    <w:basedOn w:val="Domylnaczcionkaakapitu"/>
    <w:link w:val="Stopka"/>
    <w:uiPriority w:val="99"/>
    <w:locked/>
    <w:rsid w:val="00735726"/>
    <w:rPr>
      <w:rFonts w:cs="Times New Roman"/>
      <w:sz w:val="22"/>
      <w:lang w:eastAsia="en-GB"/>
    </w:rPr>
  </w:style>
  <w:style w:type="paragraph" w:styleId="Tekstprzypisudolnego">
    <w:name w:val="footnote text"/>
    <w:basedOn w:val="Normalny"/>
    <w:link w:val="TekstprzypisudolnegoZnak"/>
    <w:uiPriority w:val="99"/>
    <w:semiHidden/>
    <w:rsid w:val="009A69CF"/>
    <w:rPr>
      <w:sz w:val="20"/>
      <w:szCs w:val="20"/>
    </w:rPr>
  </w:style>
  <w:style w:type="character" w:customStyle="1" w:styleId="TekstprzypisudolnegoZnak">
    <w:name w:val="Tekst przypisu dolnego Znak"/>
    <w:basedOn w:val="Domylnaczcionkaakapitu"/>
    <w:link w:val="Tekstprzypisudolnego"/>
    <w:uiPriority w:val="99"/>
    <w:semiHidden/>
    <w:locked/>
    <w:rsid w:val="009A69CF"/>
    <w:rPr>
      <w:rFonts w:cs="Times New Roman"/>
      <w:lang w:eastAsia="en-GB"/>
    </w:rPr>
  </w:style>
  <w:style w:type="character" w:styleId="Odwoanieprzypisudolnego">
    <w:name w:val="footnote reference"/>
    <w:basedOn w:val="Domylnaczcionkaakapitu"/>
    <w:uiPriority w:val="99"/>
    <w:semiHidden/>
    <w:rsid w:val="009A69CF"/>
    <w:rPr>
      <w:rFonts w:cs="Times New Roman"/>
      <w:vertAlign w:val="superscript"/>
    </w:rPr>
  </w:style>
  <w:style w:type="paragraph" w:customStyle="1" w:styleId="Default">
    <w:name w:val="Default"/>
    <w:uiPriority w:val="99"/>
    <w:rsid w:val="00AD32D8"/>
    <w:pPr>
      <w:autoSpaceDE w:val="0"/>
      <w:autoSpaceDN w:val="0"/>
      <w:adjustRightInd w:val="0"/>
    </w:pPr>
    <w:rPr>
      <w:rFonts w:ascii="Times New Roman" w:hAnsi="Times New Roman"/>
      <w:color w:val="000000"/>
      <w:sz w:val="24"/>
      <w:szCs w:val="24"/>
      <w:lang w:val="en-GB" w:eastAsia="en-GB"/>
    </w:rPr>
  </w:style>
  <w:style w:type="paragraph" w:styleId="Tekstdymka">
    <w:name w:val="Balloon Text"/>
    <w:basedOn w:val="Normalny"/>
    <w:link w:val="TekstdymkaZnak"/>
    <w:uiPriority w:val="99"/>
    <w:semiHidden/>
    <w:rsid w:val="0072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22227"/>
    <w:rPr>
      <w:rFonts w:ascii="Tahoma" w:hAnsi="Tahoma" w:cs="Tahoma"/>
      <w:sz w:val="16"/>
      <w:szCs w:val="16"/>
      <w:lang w:eastAsia="en-GB"/>
    </w:rPr>
  </w:style>
  <w:style w:type="character" w:customStyle="1" w:styleId="hps">
    <w:name w:val="hps"/>
    <w:basedOn w:val="Domylnaczcionkaakapitu"/>
    <w:uiPriority w:val="99"/>
    <w:rsid w:val="00836C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58045">
      <w:marLeft w:val="0"/>
      <w:marRight w:val="0"/>
      <w:marTop w:val="0"/>
      <w:marBottom w:val="0"/>
      <w:divBdr>
        <w:top w:val="none" w:sz="0" w:space="0" w:color="auto"/>
        <w:left w:val="none" w:sz="0" w:space="0" w:color="auto"/>
        <w:bottom w:val="none" w:sz="0" w:space="0" w:color="auto"/>
        <w:right w:val="none" w:sz="0" w:space="0" w:color="auto"/>
      </w:divBdr>
      <w:divsChild>
        <w:div w:id="1051658053">
          <w:marLeft w:val="0"/>
          <w:marRight w:val="0"/>
          <w:marTop w:val="360"/>
          <w:marBottom w:val="0"/>
          <w:divBdr>
            <w:top w:val="none" w:sz="0" w:space="0" w:color="auto"/>
            <w:left w:val="none" w:sz="0" w:space="0" w:color="auto"/>
            <w:bottom w:val="none" w:sz="0" w:space="0" w:color="auto"/>
            <w:right w:val="none" w:sz="0" w:space="0" w:color="auto"/>
          </w:divBdr>
          <w:divsChild>
            <w:div w:id="1051658052">
              <w:marLeft w:val="720"/>
              <w:marRight w:val="0"/>
              <w:marTop w:val="0"/>
              <w:marBottom w:val="0"/>
              <w:divBdr>
                <w:top w:val="none" w:sz="0" w:space="0" w:color="auto"/>
                <w:left w:val="none" w:sz="0" w:space="0" w:color="auto"/>
                <w:bottom w:val="none" w:sz="0" w:space="0" w:color="auto"/>
                <w:right w:val="none" w:sz="0" w:space="0" w:color="auto"/>
              </w:divBdr>
            </w:div>
            <w:div w:id="1051658065">
              <w:marLeft w:val="720"/>
              <w:marRight w:val="0"/>
              <w:marTop w:val="0"/>
              <w:marBottom w:val="0"/>
              <w:divBdr>
                <w:top w:val="none" w:sz="0" w:space="0" w:color="auto"/>
                <w:left w:val="none" w:sz="0" w:space="0" w:color="auto"/>
                <w:bottom w:val="none" w:sz="0" w:space="0" w:color="auto"/>
                <w:right w:val="none" w:sz="0" w:space="0" w:color="auto"/>
              </w:divBdr>
              <w:divsChild>
                <w:div w:id="1051658077">
                  <w:marLeft w:val="480"/>
                  <w:marRight w:val="0"/>
                  <w:marTop w:val="0"/>
                  <w:marBottom w:val="0"/>
                  <w:divBdr>
                    <w:top w:val="none" w:sz="0" w:space="0" w:color="auto"/>
                    <w:left w:val="none" w:sz="0" w:space="0" w:color="auto"/>
                    <w:bottom w:val="none" w:sz="0" w:space="0" w:color="auto"/>
                    <w:right w:val="none" w:sz="0" w:space="0" w:color="auto"/>
                  </w:divBdr>
                </w:div>
                <w:div w:id="1051658085">
                  <w:marLeft w:val="480"/>
                  <w:marRight w:val="0"/>
                  <w:marTop w:val="0"/>
                  <w:marBottom w:val="0"/>
                  <w:divBdr>
                    <w:top w:val="none" w:sz="0" w:space="0" w:color="auto"/>
                    <w:left w:val="none" w:sz="0" w:space="0" w:color="auto"/>
                    <w:bottom w:val="none" w:sz="0" w:space="0" w:color="auto"/>
                    <w:right w:val="none" w:sz="0" w:space="0" w:color="auto"/>
                  </w:divBdr>
                </w:div>
              </w:divsChild>
            </w:div>
            <w:div w:id="1051658097">
              <w:marLeft w:val="0"/>
              <w:marRight w:val="0"/>
              <w:marTop w:val="0"/>
              <w:marBottom w:val="0"/>
              <w:divBdr>
                <w:top w:val="none" w:sz="0" w:space="0" w:color="auto"/>
                <w:left w:val="none" w:sz="0" w:space="0" w:color="auto"/>
                <w:bottom w:val="none" w:sz="0" w:space="0" w:color="auto"/>
                <w:right w:val="none" w:sz="0" w:space="0" w:color="auto"/>
              </w:divBdr>
            </w:div>
          </w:divsChild>
        </w:div>
        <w:div w:id="1051658056">
          <w:marLeft w:val="0"/>
          <w:marRight w:val="0"/>
          <w:marTop w:val="360"/>
          <w:marBottom w:val="0"/>
          <w:divBdr>
            <w:top w:val="none" w:sz="0" w:space="0" w:color="auto"/>
            <w:left w:val="none" w:sz="0" w:space="0" w:color="auto"/>
            <w:bottom w:val="none" w:sz="0" w:space="0" w:color="auto"/>
            <w:right w:val="none" w:sz="0" w:space="0" w:color="auto"/>
          </w:divBdr>
          <w:divsChild>
            <w:div w:id="1051658076">
              <w:marLeft w:val="720"/>
              <w:marRight w:val="0"/>
              <w:marTop w:val="0"/>
              <w:marBottom w:val="0"/>
              <w:divBdr>
                <w:top w:val="none" w:sz="0" w:space="0" w:color="auto"/>
                <w:left w:val="none" w:sz="0" w:space="0" w:color="auto"/>
                <w:bottom w:val="none" w:sz="0" w:space="0" w:color="auto"/>
                <w:right w:val="none" w:sz="0" w:space="0" w:color="auto"/>
              </w:divBdr>
            </w:div>
            <w:div w:id="1051658078">
              <w:marLeft w:val="720"/>
              <w:marRight w:val="0"/>
              <w:marTop w:val="0"/>
              <w:marBottom w:val="0"/>
              <w:divBdr>
                <w:top w:val="none" w:sz="0" w:space="0" w:color="auto"/>
                <w:left w:val="none" w:sz="0" w:space="0" w:color="auto"/>
                <w:bottom w:val="none" w:sz="0" w:space="0" w:color="auto"/>
                <w:right w:val="none" w:sz="0" w:space="0" w:color="auto"/>
              </w:divBdr>
            </w:div>
            <w:div w:id="1051658083">
              <w:marLeft w:val="720"/>
              <w:marRight w:val="0"/>
              <w:marTop w:val="0"/>
              <w:marBottom w:val="0"/>
              <w:divBdr>
                <w:top w:val="none" w:sz="0" w:space="0" w:color="auto"/>
                <w:left w:val="none" w:sz="0" w:space="0" w:color="auto"/>
                <w:bottom w:val="none" w:sz="0" w:space="0" w:color="auto"/>
                <w:right w:val="none" w:sz="0" w:space="0" w:color="auto"/>
              </w:divBdr>
            </w:div>
            <w:div w:id="1051658093">
              <w:marLeft w:val="720"/>
              <w:marRight w:val="0"/>
              <w:marTop w:val="0"/>
              <w:marBottom w:val="0"/>
              <w:divBdr>
                <w:top w:val="none" w:sz="0" w:space="0" w:color="auto"/>
                <w:left w:val="none" w:sz="0" w:space="0" w:color="auto"/>
                <w:bottom w:val="none" w:sz="0" w:space="0" w:color="auto"/>
                <w:right w:val="none" w:sz="0" w:space="0" w:color="auto"/>
              </w:divBdr>
            </w:div>
            <w:div w:id="1051658098">
              <w:marLeft w:val="720"/>
              <w:marRight w:val="0"/>
              <w:marTop w:val="0"/>
              <w:marBottom w:val="0"/>
              <w:divBdr>
                <w:top w:val="none" w:sz="0" w:space="0" w:color="auto"/>
                <w:left w:val="none" w:sz="0" w:space="0" w:color="auto"/>
                <w:bottom w:val="none" w:sz="0" w:space="0" w:color="auto"/>
                <w:right w:val="none" w:sz="0" w:space="0" w:color="auto"/>
              </w:divBdr>
            </w:div>
            <w:div w:id="1051658100">
              <w:marLeft w:val="720"/>
              <w:marRight w:val="0"/>
              <w:marTop w:val="0"/>
              <w:marBottom w:val="0"/>
              <w:divBdr>
                <w:top w:val="none" w:sz="0" w:space="0" w:color="auto"/>
                <w:left w:val="none" w:sz="0" w:space="0" w:color="auto"/>
                <w:bottom w:val="none" w:sz="0" w:space="0" w:color="auto"/>
                <w:right w:val="none" w:sz="0" w:space="0" w:color="auto"/>
              </w:divBdr>
            </w:div>
            <w:div w:id="1051658101">
              <w:marLeft w:val="720"/>
              <w:marRight w:val="0"/>
              <w:marTop w:val="0"/>
              <w:marBottom w:val="0"/>
              <w:divBdr>
                <w:top w:val="none" w:sz="0" w:space="0" w:color="auto"/>
                <w:left w:val="none" w:sz="0" w:space="0" w:color="auto"/>
                <w:bottom w:val="none" w:sz="0" w:space="0" w:color="auto"/>
                <w:right w:val="none" w:sz="0" w:space="0" w:color="auto"/>
              </w:divBdr>
            </w:div>
          </w:divsChild>
        </w:div>
        <w:div w:id="1051658074">
          <w:marLeft w:val="0"/>
          <w:marRight w:val="0"/>
          <w:marTop w:val="360"/>
          <w:marBottom w:val="0"/>
          <w:divBdr>
            <w:top w:val="none" w:sz="0" w:space="0" w:color="auto"/>
            <w:left w:val="none" w:sz="0" w:space="0" w:color="auto"/>
            <w:bottom w:val="none" w:sz="0" w:space="0" w:color="auto"/>
            <w:right w:val="none" w:sz="0" w:space="0" w:color="auto"/>
          </w:divBdr>
          <w:divsChild>
            <w:div w:id="1051658048">
              <w:marLeft w:val="720"/>
              <w:marRight w:val="0"/>
              <w:marTop w:val="0"/>
              <w:marBottom w:val="0"/>
              <w:divBdr>
                <w:top w:val="none" w:sz="0" w:space="0" w:color="auto"/>
                <w:left w:val="none" w:sz="0" w:space="0" w:color="auto"/>
                <w:bottom w:val="none" w:sz="0" w:space="0" w:color="auto"/>
                <w:right w:val="none" w:sz="0" w:space="0" w:color="auto"/>
              </w:divBdr>
            </w:div>
            <w:div w:id="1051658049">
              <w:marLeft w:val="720"/>
              <w:marRight w:val="0"/>
              <w:marTop w:val="0"/>
              <w:marBottom w:val="0"/>
              <w:divBdr>
                <w:top w:val="none" w:sz="0" w:space="0" w:color="auto"/>
                <w:left w:val="none" w:sz="0" w:space="0" w:color="auto"/>
                <w:bottom w:val="none" w:sz="0" w:space="0" w:color="auto"/>
                <w:right w:val="none" w:sz="0" w:space="0" w:color="auto"/>
              </w:divBdr>
            </w:div>
            <w:div w:id="1051658051">
              <w:marLeft w:val="0"/>
              <w:marRight w:val="0"/>
              <w:marTop w:val="0"/>
              <w:marBottom w:val="0"/>
              <w:divBdr>
                <w:top w:val="none" w:sz="0" w:space="0" w:color="auto"/>
                <w:left w:val="none" w:sz="0" w:space="0" w:color="auto"/>
                <w:bottom w:val="none" w:sz="0" w:space="0" w:color="auto"/>
                <w:right w:val="none" w:sz="0" w:space="0" w:color="auto"/>
              </w:divBdr>
            </w:div>
            <w:div w:id="1051658055">
              <w:marLeft w:val="720"/>
              <w:marRight w:val="0"/>
              <w:marTop w:val="0"/>
              <w:marBottom w:val="0"/>
              <w:divBdr>
                <w:top w:val="none" w:sz="0" w:space="0" w:color="auto"/>
                <w:left w:val="none" w:sz="0" w:space="0" w:color="auto"/>
                <w:bottom w:val="none" w:sz="0" w:space="0" w:color="auto"/>
                <w:right w:val="none" w:sz="0" w:space="0" w:color="auto"/>
              </w:divBdr>
            </w:div>
            <w:div w:id="1051658058">
              <w:marLeft w:val="720"/>
              <w:marRight w:val="0"/>
              <w:marTop w:val="0"/>
              <w:marBottom w:val="0"/>
              <w:divBdr>
                <w:top w:val="none" w:sz="0" w:space="0" w:color="auto"/>
                <w:left w:val="none" w:sz="0" w:space="0" w:color="auto"/>
                <w:bottom w:val="none" w:sz="0" w:space="0" w:color="auto"/>
                <w:right w:val="none" w:sz="0" w:space="0" w:color="auto"/>
              </w:divBdr>
            </w:div>
            <w:div w:id="1051658060">
              <w:marLeft w:val="720"/>
              <w:marRight w:val="0"/>
              <w:marTop w:val="0"/>
              <w:marBottom w:val="0"/>
              <w:divBdr>
                <w:top w:val="none" w:sz="0" w:space="0" w:color="auto"/>
                <w:left w:val="none" w:sz="0" w:space="0" w:color="auto"/>
                <w:bottom w:val="none" w:sz="0" w:space="0" w:color="auto"/>
                <w:right w:val="none" w:sz="0" w:space="0" w:color="auto"/>
              </w:divBdr>
            </w:div>
            <w:div w:id="1051658062">
              <w:marLeft w:val="720"/>
              <w:marRight w:val="0"/>
              <w:marTop w:val="0"/>
              <w:marBottom w:val="0"/>
              <w:divBdr>
                <w:top w:val="none" w:sz="0" w:space="0" w:color="auto"/>
                <w:left w:val="none" w:sz="0" w:space="0" w:color="auto"/>
                <w:bottom w:val="none" w:sz="0" w:space="0" w:color="auto"/>
                <w:right w:val="none" w:sz="0" w:space="0" w:color="auto"/>
              </w:divBdr>
            </w:div>
            <w:div w:id="1051658066">
              <w:marLeft w:val="720"/>
              <w:marRight w:val="0"/>
              <w:marTop w:val="0"/>
              <w:marBottom w:val="0"/>
              <w:divBdr>
                <w:top w:val="none" w:sz="0" w:space="0" w:color="auto"/>
                <w:left w:val="none" w:sz="0" w:space="0" w:color="auto"/>
                <w:bottom w:val="none" w:sz="0" w:space="0" w:color="auto"/>
                <w:right w:val="none" w:sz="0" w:space="0" w:color="auto"/>
              </w:divBdr>
            </w:div>
            <w:div w:id="1051658069">
              <w:marLeft w:val="0"/>
              <w:marRight w:val="0"/>
              <w:marTop w:val="0"/>
              <w:marBottom w:val="0"/>
              <w:divBdr>
                <w:top w:val="none" w:sz="0" w:space="0" w:color="auto"/>
                <w:left w:val="none" w:sz="0" w:space="0" w:color="auto"/>
                <w:bottom w:val="none" w:sz="0" w:space="0" w:color="auto"/>
                <w:right w:val="none" w:sz="0" w:space="0" w:color="auto"/>
              </w:divBdr>
            </w:div>
            <w:div w:id="1051658075">
              <w:marLeft w:val="720"/>
              <w:marRight w:val="0"/>
              <w:marTop w:val="0"/>
              <w:marBottom w:val="0"/>
              <w:divBdr>
                <w:top w:val="none" w:sz="0" w:space="0" w:color="auto"/>
                <w:left w:val="none" w:sz="0" w:space="0" w:color="auto"/>
                <w:bottom w:val="none" w:sz="0" w:space="0" w:color="auto"/>
                <w:right w:val="none" w:sz="0" w:space="0" w:color="auto"/>
              </w:divBdr>
            </w:div>
            <w:div w:id="1051658091">
              <w:marLeft w:val="720"/>
              <w:marRight w:val="0"/>
              <w:marTop w:val="0"/>
              <w:marBottom w:val="0"/>
              <w:divBdr>
                <w:top w:val="none" w:sz="0" w:space="0" w:color="auto"/>
                <w:left w:val="none" w:sz="0" w:space="0" w:color="auto"/>
                <w:bottom w:val="none" w:sz="0" w:space="0" w:color="auto"/>
                <w:right w:val="none" w:sz="0" w:space="0" w:color="auto"/>
              </w:divBdr>
            </w:div>
            <w:div w:id="1051658094">
              <w:marLeft w:val="720"/>
              <w:marRight w:val="0"/>
              <w:marTop w:val="0"/>
              <w:marBottom w:val="0"/>
              <w:divBdr>
                <w:top w:val="none" w:sz="0" w:space="0" w:color="auto"/>
                <w:left w:val="none" w:sz="0" w:space="0" w:color="auto"/>
                <w:bottom w:val="none" w:sz="0" w:space="0" w:color="auto"/>
                <w:right w:val="none" w:sz="0" w:space="0" w:color="auto"/>
              </w:divBdr>
            </w:div>
            <w:div w:id="1051658096">
              <w:marLeft w:val="720"/>
              <w:marRight w:val="0"/>
              <w:marTop w:val="0"/>
              <w:marBottom w:val="0"/>
              <w:divBdr>
                <w:top w:val="none" w:sz="0" w:space="0" w:color="auto"/>
                <w:left w:val="none" w:sz="0" w:space="0" w:color="auto"/>
                <w:bottom w:val="none" w:sz="0" w:space="0" w:color="auto"/>
                <w:right w:val="none" w:sz="0" w:space="0" w:color="auto"/>
              </w:divBdr>
            </w:div>
            <w:div w:id="10516580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51658050">
      <w:marLeft w:val="0"/>
      <w:marRight w:val="0"/>
      <w:marTop w:val="0"/>
      <w:marBottom w:val="0"/>
      <w:divBdr>
        <w:top w:val="none" w:sz="0" w:space="0" w:color="auto"/>
        <w:left w:val="none" w:sz="0" w:space="0" w:color="auto"/>
        <w:bottom w:val="none" w:sz="0" w:space="0" w:color="auto"/>
        <w:right w:val="none" w:sz="0" w:space="0" w:color="auto"/>
      </w:divBdr>
      <w:divsChild>
        <w:div w:id="1051658092">
          <w:marLeft w:val="0"/>
          <w:marRight w:val="0"/>
          <w:marTop w:val="360"/>
          <w:marBottom w:val="0"/>
          <w:divBdr>
            <w:top w:val="none" w:sz="0" w:space="0" w:color="auto"/>
            <w:left w:val="none" w:sz="0" w:space="0" w:color="auto"/>
            <w:bottom w:val="none" w:sz="0" w:space="0" w:color="auto"/>
            <w:right w:val="none" w:sz="0" w:space="0" w:color="auto"/>
          </w:divBdr>
          <w:divsChild>
            <w:div w:id="1051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071">
      <w:marLeft w:val="0"/>
      <w:marRight w:val="0"/>
      <w:marTop w:val="0"/>
      <w:marBottom w:val="0"/>
      <w:divBdr>
        <w:top w:val="none" w:sz="0" w:space="0" w:color="auto"/>
        <w:left w:val="none" w:sz="0" w:space="0" w:color="auto"/>
        <w:bottom w:val="none" w:sz="0" w:space="0" w:color="auto"/>
        <w:right w:val="none" w:sz="0" w:space="0" w:color="auto"/>
      </w:divBdr>
      <w:divsChild>
        <w:div w:id="1051658070">
          <w:marLeft w:val="0"/>
          <w:marRight w:val="0"/>
          <w:marTop w:val="360"/>
          <w:marBottom w:val="0"/>
          <w:divBdr>
            <w:top w:val="none" w:sz="0" w:space="0" w:color="auto"/>
            <w:left w:val="none" w:sz="0" w:space="0" w:color="auto"/>
            <w:bottom w:val="none" w:sz="0" w:space="0" w:color="auto"/>
            <w:right w:val="none" w:sz="0" w:space="0" w:color="auto"/>
          </w:divBdr>
          <w:divsChild>
            <w:div w:id="1051658059">
              <w:marLeft w:val="720"/>
              <w:marRight w:val="0"/>
              <w:marTop w:val="0"/>
              <w:marBottom w:val="0"/>
              <w:divBdr>
                <w:top w:val="none" w:sz="0" w:space="0" w:color="auto"/>
                <w:left w:val="none" w:sz="0" w:space="0" w:color="auto"/>
                <w:bottom w:val="none" w:sz="0" w:space="0" w:color="auto"/>
                <w:right w:val="none" w:sz="0" w:space="0" w:color="auto"/>
              </w:divBdr>
            </w:div>
            <w:div w:id="1051658068">
              <w:marLeft w:val="720"/>
              <w:marRight w:val="0"/>
              <w:marTop w:val="0"/>
              <w:marBottom w:val="0"/>
              <w:divBdr>
                <w:top w:val="none" w:sz="0" w:space="0" w:color="auto"/>
                <w:left w:val="none" w:sz="0" w:space="0" w:color="auto"/>
                <w:bottom w:val="none" w:sz="0" w:space="0" w:color="auto"/>
                <w:right w:val="none" w:sz="0" w:space="0" w:color="auto"/>
              </w:divBdr>
            </w:div>
            <w:div w:id="1051658072">
              <w:marLeft w:val="720"/>
              <w:marRight w:val="0"/>
              <w:marTop w:val="0"/>
              <w:marBottom w:val="0"/>
              <w:divBdr>
                <w:top w:val="none" w:sz="0" w:space="0" w:color="auto"/>
                <w:left w:val="none" w:sz="0" w:space="0" w:color="auto"/>
                <w:bottom w:val="none" w:sz="0" w:space="0" w:color="auto"/>
                <w:right w:val="none" w:sz="0" w:space="0" w:color="auto"/>
              </w:divBdr>
            </w:div>
            <w:div w:id="1051658073">
              <w:marLeft w:val="720"/>
              <w:marRight w:val="0"/>
              <w:marTop w:val="0"/>
              <w:marBottom w:val="0"/>
              <w:divBdr>
                <w:top w:val="none" w:sz="0" w:space="0" w:color="auto"/>
                <w:left w:val="none" w:sz="0" w:space="0" w:color="auto"/>
                <w:bottom w:val="none" w:sz="0" w:space="0" w:color="auto"/>
                <w:right w:val="none" w:sz="0" w:space="0" w:color="auto"/>
              </w:divBdr>
              <w:divsChild>
                <w:div w:id="1051658057">
                  <w:marLeft w:val="480"/>
                  <w:marRight w:val="0"/>
                  <w:marTop w:val="0"/>
                  <w:marBottom w:val="0"/>
                  <w:divBdr>
                    <w:top w:val="none" w:sz="0" w:space="0" w:color="auto"/>
                    <w:left w:val="none" w:sz="0" w:space="0" w:color="auto"/>
                    <w:bottom w:val="none" w:sz="0" w:space="0" w:color="auto"/>
                    <w:right w:val="none" w:sz="0" w:space="0" w:color="auto"/>
                  </w:divBdr>
                </w:div>
                <w:div w:id="1051658067">
                  <w:marLeft w:val="480"/>
                  <w:marRight w:val="0"/>
                  <w:marTop w:val="0"/>
                  <w:marBottom w:val="0"/>
                  <w:divBdr>
                    <w:top w:val="none" w:sz="0" w:space="0" w:color="auto"/>
                    <w:left w:val="none" w:sz="0" w:space="0" w:color="auto"/>
                    <w:bottom w:val="none" w:sz="0" w:space="0" w:color="auto"/>
                    <w:right w:val="none" w:sz="0" w:space="0" w:color="auto"/>
                  </w:divBdr>
                </w:div>
                <w:div w:id="1051658079">
                  <w:marLeft w:val="480"/>
                  <w:marRight w:val="0"/>
                  <w:marTop w:val="0"/>
                  <w:marBottom w:val="0"/>
                  <w:divBdr>
                    <w:top w:val="none" w:sz="0" w:space="0" w:color="auto"/>
                    <w:left w:val="none" w:sz="0" w:space="0" w:color="auto"/>
                    <w:bottom w:val="none" w:sz="0" w:space="0" w:color="auto"/>
                    <w:right w:val="none" w:sz="0" w:space="0" w:color="auto"/>
                  </w:divBdr>
                </w:div>
              </w:divsChild>
            </w:div>
            <w:div w:id="10516580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51658080">
      <w:marLeft w:val="0"/>
      <w:marRight w:val="0"/>
      <w:marTop w:val="0"/>
      <w:marBottom w:val="0"/>
      <w:divBdr>
        <w:top w:val="none" w:sz="0" w:space="0" w:color="auto"/>
        <w:left w:val="none" w:sz="0" w:space="0" w:color="auto"/>
        <w:bottom w:val="none" w:sz="0" w:space="0" w:color="auto"/>
        <w:right w:val="none" w:sz="0" w:space="0" w:color="auto"/>
      </w:divBdr>
      <w:divsChild>
        <w:div w:id="1051658046">
          <w:marLeft w:val="0"/>
          <w:marRight w:val="0"/>
          <w:marTop w:val="360"/>
          <w:marBottom w:val="0"/>
          <w:divBdr>
            <w:top w:val="none" w:sz="0" w:space="0" w:color="auto"/>
            <w:left w:val="none" w:sz="0" w:space="0" w:color="auto"/>
            <w:bottom w:val="none" w:sz="0" w:space="0" w:color="auto"/>
            <w:right w:val="none" w:sz="0" w:space="0" w:color="auto"/>
          </w:divBdr>
          <w:divsChild>
            <w:div w:id="1051658063">
              <w:marLeft w:val="0"/>
              <w:marRight w:val="0"/>
              <w:marTop w:val="0"/>
              <w:marBottom w:val="0"/>
              <w:divBdr>
                <w:top w:val="none" w:sz="0" w:space="0" w:color="auto"/>
                <w:left w:val="none" w:sz="0" w:space="0" w:color="auto"/>
                <w:bottom w:val="none" w:sz="0" w:space="0" w:color="auto"/>
                <w:right w:val="none" w:sz="0" w:space="0" w:color="auto"/>
              </w:divBdr>
            </w:div>
            <w:div w:id="1051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8081">
      <w:marLeft w:val="0"/>
      <w:marRight w:val="0"/>
      <w:marTop w:val="0"/>
      <w:marBottom w:val="0"/>
      <w:divBdr>
        <w:top w:val="none" w:sz="0" w:space="0" w:color="auto"/>
        <w:left w:val="none" w:sz="0" w:space="0" w:color="auto"/>
        <w:bottom w:val="none" w:sz="0" w:space="0" w:color="auto"/>
        <w:right w:val="none" w:sz="0" w:space="0" w:color="auto"/>
      </w:divBdr>
      <w:divsChild>
        <w:div w:id="1051658061">
          <w:marLeft w:val="0"/>
          <w:marRight w:val="0"/>
          <w:marTop w:val="360"/>
          <w:marBottom w:val="0"/>
          <w:divBdr>
            <w:top w:val="none" w:sz="0" w:space="0" w:color="auto"/>
            <w:left w:val="none" w:sz="0" w:space="0" w:color="auto"/>
            <w:bottom w:val="none" w:sz="0" w:space="0" w:color="auto"/>
            <w:right w:val="none" w:sz="0" w:space="0" w:color="auto"/>
          </w:divBdr>
          <w:divsChild>
            <w:div w:id="1051658047">
              <w:marLeft w:val="0"/>
              <w:marRight w:val="0"/>
              <w:marTop w:val="0"/>
              <w:marBottom w:val="0"/>
              <w:divBdr>
                <w:top w:val="none" w:sz="0" w:space="0" w:color="auto"/>
                <w:left w:val="none" w:sz="0" w:space="0" w:color="auto"/>
                <w:bottom w:val="none" w:sz="0" w:space="0" w:color="auto"/>
                <w:right w:val="none" w:sz="0" w:space="0" w:color="auto"/>
              </w:divBdr>
              <w:divsChild>
                <w:div w:id="1051658054">
                  <w:marLeft w:val="720"/>
                  <w:marRight w:val="0"/>
                  <w:marTop w:val="0"/>
                  <w:marBottom w:val="0"/>
                  <w:divBdr>
                    <w:top w:val="none" w:sz="0" w:space="0" w:color="auto"/>
                    <w:left w:val="none" w:sz="0" w:space="0" w:color="auto"/>
                    <w:bottom w:val="none" w:sz="0" w:space="0" w:color="auto"/>
                    <w:right w:val="none" w:sz="0" w:space="0" w:color="auto"/>
                  </w:divBdr>
                </w:div>
                <w:div w:id="1051658064">
                  <w:marLeft w:val="720"/>
                  <w:marRight w:val="0"/>
                  <w:marTop w:val="0"/>
                  <w:marBottom w:val="0"/>
                  <w:divBdr>
                    <w:top w:val="none" w:sz="0" w:space="0" w:color="auto"/>
                    <w:left w:val="none" w:sz="0" w:space="0" w:color="auto"/>
                    <w:bottom w:val="none" w:sz="0" w:space="0" w:color="auto"/>
                    <w:right w:val="none" w:sz="0" w:space="0" w:color="auto"/>
                  </w:divBdr>
                </w:div>
                <w:div w:id="1051658082">
                  <w:marLeft w:val="720"/>
                  <w:marRight w:val="0"/>
                  <w:marTop w:val="0"/>
                  <w:marBottom w:val="0"/>
                  <w:divBdr>
                    <w:top w:val="none" w:sz="0" w:space="0" w:color="auto"/>
                    <w:left w:val="none" w:sz="0" w:space="0" w:color="auto"/>
                    <w:bottom w:val="none" w:sz="0" w:space="0" w:color="auto"/>
                    <w:right w:val="none" w:sz="0" w:space="0" w:color="auto"/>
                  </w:divBdr>
                </w:div>
                <w:div w:id="1051658084">
                  <w:marLeft w:val="720"/>
                  <w:marRight w:val="0"/>
                  <w:marTop w:val="0"/>
                  <w:marBottom w:val="0"/>
                  <w:divBdr>
                    <w:top w:val="none" w:sz="0" w:space="0" w:color="auto"/>
                    <w:left w:val="none" w:sz="0" w:space="0" w:color="auto"/>
                    <w:bottom w:val="none" w:sz="0" w:space="0" w:color="auto"/>
                    <w:right w:val="none" w:sz="0" w:space="0" w:color="auto"/>
                  </w:divBdr>
                </w:div>
                <w:div w:id="1051658088">
                  <w:marLeft w:val="720"/>
                  <w:marRight w:val="0"/>
                  <w:marTop w:val="0"/>
                  <w:marBottom w:val="0"/>
                  <w:divBdr>
                    <w:top w:val="none" w:sz="0" w:space="0" w:color="auto"/>
                    <w:left w:val="none" w:sz="0" w:space="0" w:color="auto"/>
                    <w:bottom w:val="none" w:sz="0" w:space="0" w:color="auto"/>
                    <w:right w:val="none" w:sz="0" w:space="0" w:color="auto"/>
                  </w:divBdr>
                </w:div>
                <w:div w:id="1051658089">
                  <w:marLeft w:val="720"/>
                  <w:marRight w:val="0"/>
                  <w:marTop w:val="0"/>
                  <w:marBottom w:val="0"/>
                  <w:divBdr>
                    <w:top w:val="none" w:sz="0" w:space="0" w:color="auto"/>
                    <w:left w:val="none" w:sz="0" w:space="0" w:color="auto"/>
                    <w:bottom w:val="none" w:sz="0" w:space="0" w:color="auto"/>
                    <w:right w:val="none" w:sz="0" w:space="0" w:color="auto"/>
                  </w:divBdr>
                </w:div>
                <w:div w:id="105165809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022894</dc:creator>
  <cp:keywords/>
  <dc:description/>
  <cp:lastModifiedBy>DYREKTOR</cp:lastModifiedBy>
  <cp:revision>2</cp:revision>
  <cp:lastPrinted>2014-07-14T11:54:00Z</cp:lastPrinted>
  <dcterms:created xsi:type="dcterms:W3CDTF">2014-08-04T13:54:00Z</dcterms:created>
  <dcterms:modified xsi:type="dcterms:W3CDTF">2014-08-04T13:54:00Z</dcterms:modified>
</cp:coreProperties>
</file>